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A03EF" w14:textId="77777777" w:rsidR="00390170" w:rsidRDefault="00390170" w:rsidP="00DD1804">
      <w:pPr>
        <w:pStyle w:val="1"/>
        <w:rPr>
          <w:rFonts w:ascii="Calibri" w:eastAsia="Calibri" w:hAnsi="Calibri" w:cs="Calibri"/>
          <w:sz w:val="30"/>
          <w:szCs w:val="20"/>
        </w:rPr>
      </w:pPr>
      <w:bookmarkStart w:id="0" w:name="_Toc528154592"/>
      <w:r>
        <w:rPr>
          <w:rFonts w:ascii="Calibri" w:eastAsia="Calibri" w:hAnsi="Calibri" w:cs="Calibri"/>
          <w:sz w:val="30"/>
          <w:szCs w:val="20"/>
        </w:rPr>
        <w:t xml:space="preserve">Annex 2 </w:t>
      </w:r>
    </w:p>
    <w:p w14:paraId="1A205A84" w14:textId="40792194" w:rsidR="00160B71" w:rsidRPr="00AE402C" w:rsidRDefault="00160B71" w:rsidP="00DD1804">
      <w:pPr>
        <w:pStyle w:val="1"/>
        <w:rPr>
          <w:rFonts w:ascii="Calibri" w:eastAsia="Calibri" w:hAnsi="Calibri" w:cs="Calibri"/>
          <w:b/>
          <w:i/>
          <w:szCs w:val="20"/>
        </w:rPr>
      </w:pPr>
      <w:r w:rsidRPr="00AE402C">
        <w:rPr>
          <w:rFonts w:ascii="Calibri" w:eastAsia="Calibri" w:hAnsi="Calibri" w:cs="Calibri"/>
          <w:sz w:val="30"/>
          <w:szCs w:val="20"/>
        </w:rPr>
        <w:t xml:space="preserve">Financial </w:t>
      </w:r>
      <w:r w:rsidR="00DD1804" w:rsidRPr="00AE402C">
        <w:rPr>
          <w:rFonts w:ascii="Calibri" w:eastAsia="Calibri" w:hAnsi="Calibri" w:cs="Calibri"/>
          <w:sz w:val="30"/>
          <w:szCs w:val="20"/>
        </w:rPr>
        <w:t>Offer</w:t>
      </w:r>
      <w:r w:rsidRPr="00AE402C">
        <w:rPr>
          <w:rFonts w:ascii="Calibri" w:eastAsia="Calibri" w:hAnsi="Calibri" w:cs="Calibri"/>
          <w:sz w:val="30"/>
          <w:szCs w:val="20"/>
        </w:rPr>
        <w:t xml:space="preserve"> Form </w:t>
      </w:r>
      <w:bookmarkEnd w:id="0"/>
    </w:p>
    <w:p w14:paraId="7E30D490" w14:textId="77777777" w:rsidR="00160B71" w:rsidRPr="00AE402C" w:rsidRDefault="00160B71" w:rsidP="00160B71">
      <w:pPr>
        <w:autoSpaceDE w:val="0"/>
        <w:autoSpaceDN w:val="0"/>
        <w:adjustRightInd w:val="0"/>
        <w:jc w:val="both"/>
        <w:rPr>
          <w:rFonts w:ascii="Calibri" w:eastAsia="Calibri" w:hAnsi="Calibri" w:cs="Calibri"/>
          <w:i/>
          <w:szCs w:val="20"/>
          <w:lang w:val="en-GB"/>
        </w:rPr>
      </w:pPr>
    </w:p>
    <w:p w14:paraId="32578D34" w14:textId="0DB31EA0" w:rsidR="00160B71" w:rsidRPr="00D74D84" w:rsidRDefault="00160B71" w:rsidP="00160B71">
      <w:pPr>
        <w:jc w:val="both"/>
        <w:rPr>
          <w:rFonts w:ascii="Calibri" w:hAnsi="Calibri" w:cs="Calibri"/>
        </w:rPr>
      </w:pPr>
      <w:r w:rsidRPr="00AE402C">
        <w:rPr>
          <w:rFonts w:ascii="Calibri" w:hAnsi="Calibri" w:cs="Calibri"/>
        </w:rPr>
        <w:t xml:space="preserve">Quotation Ref: </w:t>
      </w:r>
      <w:r w:rsidR="00897654" w:rsidRPr="00A6536D">
        <w:t>32/2022/Zero Drop</w:t>
      </w:r>
    </w:p>
    <w:p w14:paraId="63D0C527" w14:textId="77777777" w:rsidR="00160B71" w:rsidRPr="00AE402C" w:rsidRDefault="00160B71" w:rsidP="00160B71">
      <w:pPr>
        <w:jc w:val="both"/>
        <w:rPr>
          <w:rFonts w:ascii="Calibri" w:hAnsi="Calibri" w:cs="Calibri"/>
        </w:rPr>
      </w:pPr>
    </w:p>
    <w:p w14:paraId="5B284B06" w14:textId="77777777" w:rsidR="00160B71" w:rsidRPr="00AE402C" w:rsidRDefault="00160B71" w:rsidP="00160B71">
      <w:pPr>
        <w:jc w:val="both"/>
        <w:rPr>
          <w:rFonts w:ascii="Calibri" w:hAnsi="Calibri" w:cs="Calibri"/>
        </w:rPr>
      </w:pPr>
      <w:r w:rsidRPr="00AE402C">
        <w:rPr>
          <w:rFonts w:ascii="Calibri" w:hAnsi="Calibri" w:cs="Calibri"/>
        </w:rPr>
        <w:t>Supplier’s Details:</w:t>
      </w:r>
    </w:p>
    <w:p w14:paraId="33D30790" w14:textId="77777777" w:rsidR="00160B71" w:rsidRPr="00AE402C" w:rsidRDefault="00160B71" w:rsidP="00160B71">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1"/>
      </w:tblGrid>
      <w:tr w:rsidR="0068783C" w:rsidRPr="00AE402C" w14:paraId="5E1EEEDE" w14:textId="77777777" w:rsidTr="00106499">
        <w:tc>
          <w:tcPr>
            <w:tcW w:w="4519" w:type="dxa"/>
          </w:tcPr>
          <w:p w14:paraId="4D10C6AE" w14:textId="01ACFB5C" w:rsidR="0068783C" w:rsidRPr="0068783C" w:rsidRDefault="0068783C" w:rsidP="00106499">
            <w:pPr>
              <w:jc w:val="both"/>
              <w:rPr>
                <w:rStyle w:val="normaltextrun"/>
                <w:rFonts w:ascii="Calibri" w:hAnsi="Calibri" w:cs="Calibri"/>
                <w:color w:val="000000"/>
                <w:sz w:val="22"/>
                <w:szCs w:val="22"/>
              </w:rPr>
            </w:pPr>
            <w:r>
              <w:rPr>
                <w:rStyle w:val="normaltextrun"/>
                <w:rFonts w:ascii="Calibri" w:hAnsi="Calibri" w:cs="Calibri"/>
                <w:color w:val="000000"/>
                <w:sz w:val="22"/>
                <w:szCs w:val="22"/>
              </w:rPr>
              <w:t>Type of Business (Company/</w:t>
            </w:r>
            <w:r w:rsidR="00477D49">
              <w:rPr>
                <w:rStyle w:val="normaltextrun"/>
                <w:rFonts w:ascii="Calibri" w:hAnsi="Calibri" w:cs="Calibri"/>
                <w:color w:val="000000"/>
                <w:sz w:val="22"/>
                <w:szCs w:val="22"/>
              </w:rPr>
              <w:t>Self-employed</w:t>
            </w:r>
            <w:r>
              <w:rPr>
                <w:rStyle w:val="normaltextrun"/>
                <w:rFonts w:ascii="Calibri" w:hAnsi="Calibri" w:cs="Calibri"/>
                <w:color w:val="000000"/>
                <w:sz w:val="22"/>
                <w:szCs w:val="22"/>
              </w:rPr>
              <w:t xml:space="preserve"> </w:t>
            </w:r>
            <w:r w:rsidR="00477D49">
              <w:rPr>
                <w:rStyle w:val="normaltextrun"/>
                <w:rFonts w:ascii="Calibri" w:hAnsi="Calibri" w:cs="Calibri"/>
                <w:color w:val="000000"/>
                <w:sz w:val="22"/>
                <w:szCs w:val="22"/>
              </w:rPr>
              <w:t>– Freelancer)</w:t>
            </w:r>
          </w:p>
        </w:tc>
        <w:tc>
          <w:tcPr>
            <w:tcW w:w="4491" w:type="dxa"/>
          </w:tcPr>
          <w:p w14:paraId="17A2DDAD" w14:textId="77777777" w:rsidR="0068783C" w:rsidRPr="00AE402C" w:rsidRDefault="0068783C" w:rsidP="00106499">
            <w:pPr>
              <w:jc w:val="both"/>
              <w:rPr>
                <w:rFonts w:ascii="Calibri" w:eastAsia="Times New Roman" w:hAnsi="Calibri" w:cs="Calibri"/>
                <w:sz w:val="40"/>
                <w:szCs w:val="40"/>
              </w:rPr>
            </w:pPr>
          </w:p>
        </w:tc>
      </w:tr>
      <w:tr w:rsidR="00160B71" w:rsidRPr="00AE402C" w14:paraId="15A2D5D1" w14:textId="77777777" w:rsidTr="00106499">
        <w:tc>
          <w:tcPr>
            <w:tcW w:w="4519" w:type="dxa"/>
          </w:tcPr>
          <w:p w14:paraId="41D5E5BF" w14:textId="5673FA9A" w:rsidR="00160B71" w:rsidRPr="00AE402C" w:rsidRDefault="00AE402C" w:rsidP="00106499">
            <w:pPr>
              <w:jc w:val="both"/>
              <w:rPr>
                <w:rFonts w:ascii="Calibri" w:eastAsia="Times New Roman" w:hAnsi="Calibri" w:cs="Calibri"/>
              </w:rPr>
            </w:pPr>
            <w:r>
              <w:rPr>
                <w:rStyle w:val="normaltextrun"/>
                <w:rFonts w:ascii="Calibri" w:hAnsi="Calibri" w:cs="Calibri"/>
                <w:color w:val="000000"/>
                <w:sz w:val="22"/>
                <w:szCs w:val="22"/>
                <w:lang w:val="el-GR"/>
              </w:rPr>
              <w:t>Company Name/supplier name:</w:t>
            </w:r>
            <w:r>
              <w:rPr>
                <w:rStyle w:val="eop"/>
                <w:rFonts w:ascii="Calibri" w:hAnsi="Calibri" w:cs="Calibri"/>
                <w:color w:val="000000"/>
                <w:sz w:val="22"/>
                <w:szCs w:val="22"/>
              </w:rPr>
              <w:t> </w:t>
            </w:r>
          </w:p>
        </w:tc>
        <w:tc>
          <w:tcPr>
            <w:tcW w:w="4491" w:type="dxa"/>
          </w:tcPr>
          <w:p w14:paraId="45DBA056" w14:textId="77777777" w:rsidR="00160B71" w:rsidRPr="00AE402C" w:rsidRDefault="00160B71" w:rsidP="00106499">
            <w:pPr>
              <w:jc w:val="both"/>
              <w:rPr>
                <w:rFonts w:ascii="Calibri" w:eastAsia="Times New Roman" w:hAnsi="Calibri" w:cs="Calibri"/>
                <w:sz w:val="40"/>
                <w:szCs w:val="40"/>
              </w:rPr>
            </w:pPr>
          </w:p>
        </w:tc>
      </w:tr>
      <w:tr w:rsidR="00160B71" w:rsidRPr="00AE402C" w14:paraId="116DA022" w14:textId="77777777" w:rsidTr="00106499">
        <w:tc>
          <w:tcPr>
            <w:tcW w:w="4519" w:type="dxa"/>
          </w:tcPr>
          <w:p w14:paraId="736CA50C" w14:textId="506186EA" w:rsidR="00160B71" w:rsidRPr="00AE402C" w:rsidRDefault="00160B71" w:rsidP="00106499">
            <w:pPr>
              <w:jc w:val="both"/>
              <w:rPr>
                <w:rFonts w:ascii="Calibri" w:eastAsia="Times New Roman" w:hAnsi="Calibri" w:cs="Calibri"/>
              </w:rPr>
            </w:pPr>
            <w:r w:rsidRPr="0068783C">
              <w:rPr>
                <w:rStyle w:val="normaltextrun"/>
                <w:color w:val="000000"/>
                <w:sz w:val="22"/>
                <w:szCs w:val="22"/>
                <w:lang w:val="el-GR"/>
              </w:rPr>
              <w:t>Address:</w:t>
            </w:r>
          </w:p>
        </w:tc>
        <w:tc>
          <w:tcPr>
            <w:tcW w:w="4491" w:type="dxa"/>
          </w:tcPr>
          <w:p w14:paraId="2A04B3AC" w14:textId="77777777" w:rsidR="00160B71" w:rsidRPr="00AE402C" w:rsidRDefault="00160B71" w:rsidP="00106499">
            <w:pPr>
              <w:jc w:val="both"/>
              <w:rPr>
                <w:rFonts w:ascii="Calibri" w:eastAsia="Times New Roman" w:hAnsi="Calibri" w:cs="Calibri"/>
                <w:sz w:val="40"/>
                <w:szCs w:val="40"/>
              </w:rPr>
            </w:pPr>
          </w:p>
        </w:tc>
      </w:tr>
      <w:tr w:rsidR="00160B71" w:rsidRPr="00AE402C" w14:paraId="68D544C1" w14:textId="77777777" w:rsidTr="00106499">
        <w:tc>
          <w:tcPr>
            <w:tcW w:w="4519" w:type="dxa"/>
          </w:tcPr>
          <w:p w14:paraId="35A4F93E" w14:textId="14E8E83A" w:rsidR="00160B71" w:rsidRPr="00AE402C" w:rsidRDefault="00AE402C" w:rsidP="00106499">
            <w:pPr>
              <w:jc w:val="both"/>
              <w:rPr>
                <w:rFonts w:ascii="Calibri" w:eastAsia="Times New Roman" w:hAnsi="Calibri" w:cs="Calibri"/>
              </w:rPr>
            </w:pPr>
            <w:r>
              <w:rPr>
                <w:rStyle w:val="normaltextrun"/>
                <w:rFonts w:ascii="Calibri" w:hAnsi="Calibri" w:cs="Calibri"/>
                <w:color w:val="000000"/>
                <w:sz w:val="22"/>
                <w:szCs w:val="22"/>
                <w:lang w:val="el-GR"/>
              </w:rPr>
              <w:t>Tel/ e-mail address:</w:t>
            </w:r>
            <w:r>
              <w:rPr>
                <w:rStyle w:val="eop"/>
                <w:rFonts w:ascii="Calibri" w:hAnsi="Calibri" w:cs="Calibri"/>
                <w:color w:val="000000"/>
                <w:sz w:val="22"/>
                <w:szCs w:val="22"/>
              </w:rPr>
              <w:t> </w:t>
            </w:r>
          </w:p>
        </w:tc>
        <w:tc>
          <w:tcPr>
            <w:tcW w:w="4491" w:type="dxa"/>
          </w:tcPr>
          <w:p w14:paraId="14FA7E8B" w14:textId="77777777" w:rsidR="00160B71" w:rsidRPr="00AE402C" w:rsidRDefault="00160B71" w:rsidP="00106499">
            <w:pPr>
              <w:jc w:val="both"/>
              <w:rPr>
                <w:rFonts w:ascii="Calibri" w:eastAsia="Times New Roman" w:hAnsi="Calibri" w:cs="Calibri"/>
                <w:sz w:val="40"/>
                <w:szCs w:val="40"/>
              </w:rPr>
            </w:pPr>
          </w:p>
        </w:tc>
      </w:tr>
      <w:tr w:rsidR="00AE402C" w:rsidRPr="00AE402C" w14:paraId="0366A2A5" w14:textId="77777777" w:rsidTr="00106499">
        <w:tc>
          <w:tcPr>
            <w:tcW w:w="4519" w:type="dxa"/>
          </w:tcPr>
          <w:p w14:paraId="6D30AB98" w14:textId="07644DEC" w:rsidR="00AE402C" w:rsidRPr="00AE402C" w:rsidRDefault="00AE402C" w:rsidP="00AE402C">
            <w:pPr>
              <w:jc w:val="both"/>
              <w:rPr>
                <w:rFonts w:ascii="Calibri" w:eastAsia="Times New Roman" w:hAnsi="Calibri" w:cs="Calibri"/>
              </w:rPr>
            </w:pPr>
            <w:r>
              <w:rPr>
                <w:rStyle w:val="normaltextrun"/>
                <w:rFonts w:ascii="Calibri" w:hAnsi="Calibri" w:cs="Calibri"/>
                <w:color w:val="000000"/>
                <w:sz w:val="22"/>
                <w:szCs w:val="22"/>
                <w:bdr w:val="none" w:sz="0" w:space="0" w:color="auto" w:frame="1"/>
              </w:rPr>
              <w:t xml:space="preserve">VAT or </w:t>
            </w:r>
            <w:r w:rsidR="0068783C">
              <w:rPr>
                <w:rStyle w:val="normaltextrun"/>
                <w:rFonts w:ascii="Calibri" w:hAnsi="Calibri" w:cs="Calibri"/>
                <w:color w:val="000000"/>
                <w:sz w:val="22"/>
                <w:szCs w:val="22"/>
                <w:bdr w:val="none" w:sz="0" w:space="0" w:color="auto" w:frame="1"/>
              </w:rPr>
              <w:t>Tax r</w:t>
            </w:r>
            <w:r>
              <w:rPr>
                <w:rStyle w:val="normaltextrun"/>
                <w:rFonts w:ascii="Calibri" w:hAnsi="Calibri" w:cs="Calibri"/>
                <w:color w:val="000000"/>
                <w:sz w:val="22"/>
                <w:szCs w:val="22"/>
                <w:bdr w:val="none" w:sz="0" w:space="0" w:color="auto" w:frame="1"/>
              </w:rPr>
              <w:t>egistration No</w:t>
            </w:r>
            <w:r w:rsidR="0068783C">
              <w:rPr>
                <w:rStyle w:val="normaltextrun"/>
                <w:rFonts w:ascii="Calibri" w:hAnsi="Calibri" w:cs="Calibri"/>
                <w:color w:val="000000"/>
                <w:sz w:val="22"/>
                <w:szCs w:val="22"/>
                <w:bdr w:val="none" w:sz="0" w:space="0" w:color="auto" w:frame="1"/>
              </w:rPr>
              <w:t>:</w:t>
            </w:r>
          </w:p>
        </w:tc>
        <w:tc>
          <w:tcPr>
            <w:tcW w:w="4491" w:type="dxa"/>
          </w:tcPr>
          <w:p w14:paraId="7F33DB07" w14:textId="77777777" w:rsidR="00AE402C" w:rsidRPr="00AE402C" w:rsidRDefault="00AE402C" w:rsidP="00AE402C">
            <w:pPr>
              <w:jc w:val="both"/>
              <w:rPr>
                <w:rFonts w:ascii="Calibri" w:eastAsia="Times New Roman" w:hAnsi="Calibri" w:cs="Calibri"/>
                <w:sz w:val="40"/>
                <w:szCs w:val="40"/>
              </w:rPr>
            </w:pPr>
          </w:p>
        </w:tc>
      </w:tr>
      <w:tr w:rsidR="00AE402C" w:rsidRPr="00AE402C" w14:paraId="0179CA7C" w14:textId="77777777" w:rsidTr="00106499">
        <w:tc>
          <w:tcPr>
            <w:tcW w:w="4519" w:type="dxa"/>
          </w:tcPr>
          <w:p w14:paraId="543D04C8" w14:textId="3474FEEB" w:rsidR="00AE402C" w:rsidRPr="00AE402C" w:rsidRDefault="00AE402C" w:rsidP="00AE402C">
            <w:pPr>
              <w:jc w:val="both"/>
              <w:rPr>
                <w:rFonts w:ascii="Calibri" w:eastAsia="Times New Roman" w:hAnsi="Calibri" w:cs="Calibri"/>
              </w:rPr>
            </w:pPr>
            <w:r>
              <w:rPr>
                <w:rStyle w:val="normaltextrun"/>
                <w:rFonts w:ascii="Calibri" w:hAnsi="Calibri" w:cs="Calibri"/>
                <w:color w:val="000000"/>
                <w:sz w:val="22"/>
                <w:szCs w:val="22"/>
                <w:shd w:val="clear" w:color="auto" w:fill="FFFFFF"/>
              </w:rPr>
              <w:t>Name of Legal Representative:</w:t>
            </w:r>
            <w:r>
              <w:rPr>
                <w:rStyle w:val="eop"/>
                <w:rFonts w:ascii="Calibri" w:hAnsi="Calibri" w:cs="Calibri"/>
                <w:color w:val="000000"/>
                <w:sz w:val="22"/>
                <w:szCs w:val="22"/>
                <w:shd w:val="clear" w:color="auto" w:fill="FFFFFF"/>
              </w:rPr>
              <w:t> </w:t>
            </w:r>
          </w:p>
        </w:tc>
        <w:tc>
          <w:tcPr>
            <w:tcW w:w="4491" w:type="dxa"/>
          </w:tcPr>
          <w:p w14:paraId="43ED4B97" w14:textId="77777777" w:rsidR="00AE402C" w:rsidRPr="00AE402C" w:rsidRDefault="00AE402C" w:rsidP="00AE402C">
            <w:pPr>
              <w:jc w:val="both"/>
              <w:rPr>
                <w:rFonts w:ascii="Calibri" w:eastAsia="Times New Roman" w:hAnsi="Calibri" w:cs="Calibri"/>
                <w:sz w:val="40"/>
                <w:szCs w:val="40"/>
              </w:rPr>
            </w:pPr>
          </w:p>
        </w:tc>
      </w:tr>
    </w:tbl>
    <w:p w14:paraId="3859965E" w14:textId="77777777" w:rsidR="00160B71" w:rsidRPr="00AE402C" w:rsidRDefault="00160B71" w:rsidP="00160B71">
      <w:pPr>
        <w:jc w:val="both"/>
        <w:rPr>
          <w:rFonts w:ascii="Calibri" w:hAnsi="Calibri" w:cs="Calibri"/>
        </w:rPr>
      </w:pPr>
    </w:p>
    <w:p w14:paraId="5FEA6B24" w14:textId="7A91F219" w:rsidR="00160B71" w:rsidRPr="00AE402C" w:rsidRDefault="00160B71" w:rsidP="00160B71">
      <w:pPr>
        <w:jc w:val="both"/>
        <w:rPr>
          <w:rFonts w:ascii="Calibri" w:hAnsi="Calibri" w:cs="Calibri"/>
        </w:rPr>
      </w:pPr>
      <w:r w:rsidRPr="00AE402C">
        <w:rPr>
          <w:rFonts w:ascii="Calibri" w:hAnsi="Calibri" w:cs="Calibri"/>
        </w:rPr>
        <w:t>Schedule of Rates:</w:t>
      </w:r>
    </w:p>
    <w:p w14:paraId="5906C57D" w14:textId="77777777" w:rsidR="00DD1804" w:rsidRPr="00AE402C" w:rsidRDefault="00DD1804" w:rsidP="00160B71">
      <w:pPr>
        <w:jc w:val="both"/>
        <w:rPr>
          <w:rFonts w:ascii="Calibri" w:hAnsi="Calibri" w:cs="Calibri"/>
        </w:rPr>
      </w:pPr>
    </w:p>
    <w:p w14:paraId="5C1FC5E3" w14:textId="098D5251" w:rsidR="00160B71" w:rsidRPr="00AE402C" w:rsidRDefault="00AE402C" w:rsidP="00160B71">
      <w:pPr>
        <w:jc w:val="both"/>
        <w:rPr>
          <w:rStyle w:val="eop"/>
          <w:rFonts w:ascii="Calibri" w:hAnsi="Calibri" w:cs="Calibri"/>
          <w:color w:val="000000"/>
          <w:sz w:val="22"/>
          <w:szCs w:val="22"/>
          <w:shd w:val="clear" w:color="auto" w:fill="FFFFFF"/>
        </w:rPr>
      </w:pPr>
      <w:r w:rsidRPr="00AE402C">
        <w:rPr>
          <w:rStyle w:val="normaltextrun"/>
          <w:rFonts w:ascii="Calibri" w:hAnsi="Calibri" w:cs="Calibri"/>
          <w:color w:val="000000"/>
          <w:sz w:val="22"/>
          <w:szCs w:val="22"/>
          <w:shd w:val="clear" w:color="auto" w:fill="FFFFFF"/>
        </w:rPr>
        <w:t>Rates and Total price of each item is to be quoted in </w:t>
      </w:r>
      <w:r w:rsidRPr="00126C73">
        <w:rPr>
          <w:rStyle w:val="normaltextrun"/>
          <w:rFonts w:ascii="Calibri" w:hAnsi="Calibri" w:cs="Calibri"/>
          <w:b/>
          <w:bCs/>
          <w:color w:val="000000"/>
          <w:sz w:val="22"/>
          <w:szCs w:val="22"/>
          <w:shd w:val="clear" w:color="auto" w:fill="FFFFFF"/>
        </w:rPr>
        <w:t>Euros</w:t>
      </w:r>
      <w:r w:rsidRPr="00AE402C">
        <w:rPr>
          <w:rStyle w:val="normaltextrun"/>
          <w:rFonts w:ascii="Calibri" w:hAnsi="Calibri" w:cs="Calibri"/>
          <w:color w:val="000000"/>
          <w:sz w:val="22"/>
          <w:szCs w:val="22"/>
          <w:shd w:val="clear" w:color="auto" w:fill="FFFFFF"/>
        </w:rPr>
        <w:t> </w:t>
      </w:r>
      <w:r w:rsidRPr="00AE402C">
        <w:rPr>
          <w:rStyle w:val="normaltextrun"/>
          <w:rFonts w:ascii="Calibri" w:hAnsi="Calibri" w:cs="Calibri"/>
          <w:b/>
          <w:bCs/>
          <w:color w:val="000000"/>
          <w:sz w:val="22"/>
          <w:szCs w:val="22"/>
          <w:u w:val="single"/>
          <w:shd w:val="clear" w:color="auto" w:fill="FFFFFF"/>
        </w:rPr>
        <w:t>Including VAT</w:t>
      </w:r>
      <w:r w:rsidRPr="00AE402C">
        <w:rPr>
          <w:rStyle w:val="normaltextrun"/>
          <w:rFonts w:ascii="Calibri" w:hAnsi="Calibri" w:cs="Calibri"/>
          <w:b/>
          <w:bCs/>
          <w:color w:val="000000"/>
          <w:sz w:val="22"/>
          <w:szCs w:val="22"/>
          <w:shd w:val="clear" w:color="auto" w:fill="FFFFFF"/>
        </w:rPr>
        <w:t> and any other Tax or Fee</w:t>
      </w:r>
      <w:r w:rsidRPr="00AE402C">
        <w:rPr>
          <w:rStyle w:val="normaltextrun"/>
          <w:rFonts w:ascii="Calibri" w:hAnsi="Calibri" w:cs="Calibri"/>
          <w:color w:val="000000"/>
          <w:sz w:val="22"/>
          <w:szCs w:val="22"/>
          <w:shd w:val="clear" w:color="auto" w:fill="FFFFFF"/>
        </w:rPr>
        <w:t> that should apply for any reason.</w:t>
      </w:r>
      <w:r w:rsidRPr="00AE402C">
        <w:rPr>
          <w:rStyle w:val="eop"/>
          <w:rFonts w:ascii="Calibri" w:hAnsi="Calibri" w:cs="Calibri"/>
          <w:color w:val="000000"/>
          <w:sz w:val="22"/>
          <w:szCs w:val="22"/>
          <w:shd w:val="clear" w:color="auto" w:fill="FFFFFF"/>
        </w:rPr>
        <w:t> </w:t>
      </w:r>
    </w:p>
    <w:p w14:paraId="0D9BA207" w14:textId="77777777" w:rsidR="00AE402C" w:rsidRPr="00AE402C" w:rsidRDefault="00AE402C" w:rsidP="00160B71">
      <w:pPr>
        <w:jc w:val="both"/>
        <w:rPr>
          <w:rFonts w:ascii="Calibri" w:hAnsi="Calibri" w:cs="Calibri"/>
        </w:rPr>
      </w:pPr>
    </w:p>
    <w:p w14:paraId="16EF1138" w14:textId="1B674967" w:rsidR="00160B71" w:rsidRDefault="00160B71" w:rsidP="00160B71">
      <w:pPr>
        <w:jc w:val="both"/>
        <w:rPr>
          <w:rFonts w:ascii="Calibri" w:hAnsi="Calibri" w:cs="Calibri"/>
        </w:rPr>
      </w:pPr>
    </w:p>
    <w:tbl>
      <w:tblPr>
        <w:tblStyle w:val="aa"/>
        <w:tblW w:w="9355" w:type="dxa"/>
        <w:jc w:val="center"/>
        <w:tblLook w:val="04A0" w:firstRow="1" w:lastRow="0" w:firstColumn="1" w:lastColumn="0" w:noHBand="0" w:noVBand="1"/>
      </w:tblPr>
      <w:tblGrid>
        <w:gridCol w:w="805"/>
        <w:gridCol w:w="3694"/>
        <w:gridCol w:w="1223"/>
        <w:gridCol w:w="1383"/>
        <w:gridCol w:w="1080"/>
        <w:gridCol w:w="1170"/>
      </w:tblGrid>
      <w:tr w:rsidR="00E41EEC" w:rsidRPr="00E41EEC" w14:paraId="4DD0512B" w14:textId="2DBBF11F" w:rsidTr="00E41EEC">
        <w:trPr>
          <w:jc w:val="center"/>
        </w:trPr>
        <w:tc>
          <w:tcPr>
            <w:tcW w:w="805" w:type="dxa"/>
            <w:shd w:val="clear" w:color="auto" w:fill="auto"/>
          </w:tcPr>
          <w:p w14:paraId="03E602C3" w14:textId="77777777" w:rsidR="00E41EEC" w:rsidRPr="00E41EEC" w:rsidRDefault="00E41EEC" w:rsidP="00E41EEC">
            <w:pPr>
              <w:rPr>
                <w:rFonts w:asciiTheme="minorHAnsi" w:eastAsiaTheme="minorHAnsi" w:hAnsiTheme="minorHAnsi" w:cstheme="minorBidi"/>
                <w:b/>
                <w:bCs/>
                <w:szCs w:val="20"/>
              </w:rPr>
            </w:pPr>
            <w:r w:rsidRPr="00E41EEC">
              <w:rPr>
                <w:rFonts w:asciiTheme="minorHAnsi" w:eastAsiaTheme="minorHAnsi" w:hAnsiTheme="minorHAnsi" w:cstheme="minorBidi"/>
                <w:b/>
                <w:bCs/>
                <w:szCs w:val="20"/>
              </w:rPr>
              <w:t>A/A</w:t>
            </w:r>
          </w:p>
        </w:tc>
        <w:tc>
          <w:tcPr>
            <w:tcW w:w="3694" w:type="dxa"/>
            <w:shd w:val="clear" w:color="auto" w:fill="auto"/>
          </w:tcPr>
          <w:p w14:paraId="2A04B59A" w14:textId="77777777" w:rsidR="00E41EEC" w:rsidRPr="00E41EEC" w:rsidRDefault="00E41EEC" w:rsidP="00E41EEC">
            <w:pPr>
              <w:rPr>
                <w:rFonts w:asciiTheme="minorHAnsi" w:eastAsiaTheme="minorHAnsi" w:hAnsiTheme="minorHAnsi" w:cstheme="minorBidi"/>
                <w:b/>
                <w:bCs/>
                <w:szCs w:val="20"/>
              </w:rPr>
            </w:pPr>
            <w:r w:rsidRPr="00E41EEC">
              <w:rPr>
                <w:rFonts w:asciiTheme="minorHAnsi" w:eastAsiaTheme="minorHAnsi" w:hAnsiTheme="minorHAnsi" w:cstheme="minorBidi"/>
                <w:b/>
                <w:bCs/>
                <w:szCs w:val="20"/>
              </w:rPr>
              <w:t>Service / Task</w:t>
            </w:r>
          </w:p>
        </w:tc>
        <w:tc>
          <w:tcPr>
            <w:tcW w:w="1223" w:type="dxa"/>
            <w:shd w:val="clear" w:color="auto" w:fill="auto"/>
          </w:tcPr>
          <w:p w14:paraId="11B7A8B8" w14:textId="77777777" w:rsidR="00E41EEC" w:rsidRPr="00E41EEC" w:rsidRDefault="00E41EEC" w:rsidP="00E41EEC">
            <w:pPr>
              <w:rPr>
                <w:rFonts w:asciiTheme="minorHAnsi" w:eastAsiaTheme="minorHAnsi" w:hAnsiTheme="minorHAnsi" w:cstheme="minorBidi"/>
                <w:b/>
                <w:bCs/>
                <w:szCs w:val="20"/>
              </w:rPr>
            </w:pPr>
            <w:r w:rsidRPr="00E41EEC">
              <w:rPr>
                <w:rFonts w:asciiTheme="minorHAnsi" w:eastAsiaTheme="minorHAnsi" w:hAnsiTheme="minorHAnsi" w:cstheme="minorBidi"/>
                <w:b/>
                <w:bCs/>
                <w:szCs w:val="20"/>
              </w:rPr>
              <w:t>Quantity</w:t>
            </w:r>
          </w:p>
        </w:tc>
        <w:tc>
          <w:tcPr>
            <w:tcW w:w="1383" w:type="dxa"/>
          </w:tcPr>
          <w:p w14:paraId="7DD5944A" w14:textId="50BA85AF" w:rsidR="00E41EEC" w:rsidRPr="00E41EEC" w:rsidRDefault="00E41EEC" w:rsidP="00E41EEC">
            <w:pPr>
              <w:rPr>
                <w:rFonts w:asciiTheme="minorHAnsi" w:eastAsiaTheme="minorHAnsi" w:hAnsiTheme="minorHAnsi" w:cstheme="minorBidi"/>
                <w:b/>
                <w:bCs/>
                <w:szCs w:val="20"/>
              </w:rPr>
            </w:pPr>
            <w:r>
              <w:rPr>
                <w:rFonts w:asciiTheme="minorHAnsi" w:eastAsiaTheme="minorHAnsi" w:hAnsiTheme="minorHAnsi" w:cstheme="minorBidi"/>
                <w:b/>
                <w:bCs/>
                <w:szCs w:val="20"/>
              </w:rPr>
              <w:t>Unit Price (</w:t>
            </w:r>
            <w:r>
              <w:rPr>
                <w:rFonts w:asciiTheme="minorHAnsi" w:eastAsiaTheme="minorHAnsi" w:hAnsiTheme="minorHAnsi" w:cstheme="minorHAnsi"/>
                <w:b/>
                <w:bCs/>
                <w:szCs w:val="20"/>
              </w:rPr>
              <w:t>€</w:t>
            </w:r>
            <w:r>
              <w:rPr>
                <w:rFonts w:asciiTheme="minorHAnsi" w:eastAsiaTheme="minorHAnsi" w:hAnsiTheme="minorHAnsi" w:cstheme="minorBidi"/>
                <w:b/>
                <w:bCs/>
                <w:szCs w:val="20"/>
              </w:rPr>
              <w:t>)</w:t>
            </w:r>
          </w:p>
        </w:tc>
        <w:tc>
          <w:tcPr>
            <w:tcW w:w="1080" w:type="dxa"/>
          </w:tcPr>
          <w:p w14:paraId="01FFC4A6" w14:textId="70F0298A" w:rsidR="00E41EEC" w:rsidRPr="00E41EEC" w:rsidRDefault="00E41EEC" w:rsidP="00E41EEC">
            <w:pPr>
              <w:rPr>
                <w:rFonts w:asciiTheme="minorHAnsi" w:eastAsiaTheme="minorHAnsi" w:hAnsiTheme="minorHAnsi" w:cstheme="minorBidi"/>
                <w:b/>
                <w:bCs/>
                <w:szCs w:val="20"/>
              </w:rPr>
            </w:pPr>
            <w:r>
              <w:rPr>
                <w:rFonts w:asciiTheme="minorHAnsi" w:eastAsiaTheme="minorHAnsi" w:hAnsiTheme="minorHAnsi" w:cstheme="minorBidi"/>
                <w:b/>
                <w:bCs/>
                <w:szCs w:val="20"/>
              </w:rPr>
              <w:t>VAT (</w:t>
            </w:r>
            <w:r>
              <w:rPr>
                <w:rFonts w:asciiTheme="minorHAnsi" w:eastAsiaTheme="minorHAnsi" w:hAnsiTheme="minorHAnsi" w:cstheme="minorHAnsi"/>
                <w:b/>
                <w:bCs/>
                <w:szCs w:val="20"/>
              </w:rPr>
              <w:t>€</w:t>
            </w:r>
            <w:r>
              <w:rPr>
                <w:rFonts w:asciiTheme="minorHAnsi" w:eastAsiaTheme="minorHAnsi" w:hAnsiTheme="minorHAnsi" w:cstheme="minorBidi"/>
                <w:b/>
                <w:bCs/>
                <w:szCs w:val="20"/>
              </w:rPr>
              <w:t>)</w:t>
            </w:r>
          </w:p>
        </w:tc>
        <w:tc>
          <w:tcPr>
            <w:tcW w:w="1170" w:type="dxa"/>
          </w:tcPr>
          <w:p w14:paraId="1E1E0955" w14:textId="725A05A5" w:rsidR="00E41EEC" w:rsidRPr="00E41EEC" w:rsidRDefault="00E41EEC" w:rsidP="00E41EEC">
            <w:pPr>
              <w:rPr>
                <w:rFonts w:asciiTheme="minorHAnsi" w:eastAsiaTheme="minorHAnsi" w:hAnsiTheme="minorHAnsi" w:cstheme="minorBidi"/>
                <w:b/>
                <w:bCs/>
                <w:szCs w:val="20"/>
              </w:rPr>
            </w:pPr>
            <w:r>
              <w:rPr>
                <w:rFonts w:asciiTheme="minorHAnsi" w:eastAsiaTheme="minorHAnsi" w:hAnsiTheme="minorHAnsi" w:cstheme="minorBidi"/>
                <w:b/>
                <w:bCs/>
                <w:szCs w:val="20"/>
              </w:rPr>
              <w:t>Total (</w:t>
            </w:r>
            <w:r>
              <w:rPr>
                <w:rFonts w:asciiTheme="minorHAnsi" w:eastAsiaTheme="minorHAnsi" w:hAnsiTheme="minorHAnsi" w:cstheme="minorHAnsi"/>
                <w:b/>
                <w:bCs/>
                <w:szCs w:val="20"/>
              </w:rPr>
              <w:t>€</w:t>
            </w:r>
            <w:r>
              <w:rPr>
                <w:rFonts w:asciiTheme="minorHAnsi" w:eastAsiaTheme="minorHAnsi" w:hAnsiTheme="minorHAnsi" w:cstheme="minorBidi"/>
                <w:b/>
                <w:bCs/>
                <w:szCs w:val="20"/>
              </w:rPr>
              <w:t>)</w:t>
            </w:r>
          </w:p>
        </w:tc>
      </w:tr>
      <w:tr w:rsidR="00E41EEC" w:rsidRPr="00E41EEC" w14:paraId="1FD64D1B" w14:textId="0158B7E8" w:rsidTr="0047346C">
        <w:trPr>
          <w:jc w:val="center"/>
        </w:trPr>
        <w:tc>
          <w:tcPr>
            <w:tcW w:w="9355" w:type="dxa"/>
            <w:gridSpan w:val="6"/>
            <w:shd w:val="clear" w:color="auto" w:fill="auto"/>
          </w:tcPr>
          <w:p w14:paraId="4393F155" w14:textId="54BD74F4" w:rsidR="00E41EEC" w:rsidRPr="00E41EEC" w:rsidRDefault="00E41EEC" w:rsidP="00E41EEC">
            <w:pPr>
              <w:rPr>
                <w:rFonts w:asciiTheme="minorHAnsi" w:eastAsiaTheme="minorHAnsi" w:hAnsiTheme="minorHAnsi" w:cstheme="minorBidi"/>
                <w:b/>
                <w:bCs/>
                <w:szCs w:val="20"/>
              </w:rPr>
            </w:pPr>
            <w:r w:rsidRPr="00E41EEC">
              <w:rPr>
                <w:rFonts w:asciiTheme="minorHAnsi" w:eastAsiaTheme="minorHAnsi" w:hAnsiTheme="minorHAnsi" w:cstheme="minorBidi"/>
                <w:b/>
                <w:bCs/>
                <w:szCs w:val="20"/>
              </w:rPr>
              <w:t>A. Connection of Well Pump</w:t>
            </w:r>
          </w:p>
        </w:tc>
      </w:tr>
      <w:tr w:rsidR="00E41EEC" w:rsidRPr="00E41EEC" w14:paraId="39AE3CCB" w14:textId="1D9E309C" w:rsidTr="00E41EEC">
        <w:trPr>
          <w:jc w:val="center"/>
        </w:trPr>
        <w:tc>
          <w:tcPr>
            <w:tcW w:w="805" w:type="dxa"/>
            <w:shd w:val="clear" w:color="auto" w:fill="auto"/>
            <w:vAlign w:val="center"/>
          </w:tcPr>
          <w:p w14:paraId="7B58BAE7" w14:textId="77777777" w:rsidR="00E41EEC" w:rsidRPr="00E41EEC" w:rsidRDefault="00E41EEC" w:rsidP="00E41EEC">
            <w:pPr>
              <w:jc w:val="center"/>
              <w:rPr>
                <w:rFonts w:asciiTheme="minorHAnsi" w:eastAsiaTheme="minorHAnsi" w:hAnsiTheme="minorHAnsi" w:cstheme="minorBidi"/>
                <w:szCs w:val="20"/>
              </w:rPr>
            </w:pPr>
            <w:r w:rsidRPr="00E41EEC">
              <w:rPr>
                <w:rFonts w:asciiTheme="minorHAnsi" w:eastAsiaTheme="minorHAnsi" w:hAnsiTheme="minorHAnsi" w:cstheme="minorBidi"/>
                <w:szCs w:val="20"/>
              </w:rPr>
              <w:t>A1</w:t>
            </w:r>
          </w:p>
        </w:tc>
        <w:tc>
          <w:tcPr>
            <w:tcW w:w="3694" w:type="dxa"/>
            <w:shd w:val="clear" w:color="auto" w:fill="auto"/>
          </w:tcPr>
          <w:p w14:paraId="160735AB" w14:textId="77777777" w:rsidR="00E41EEC" w:rsidRPr="00E41EEC" w:rsidRDefault="00E41EEC" w:rsidP="00E41EEC">
            <w:pPr>
              <w:rPr>
                <w:rFonts w:asciiTheme="minorHAnsi" w:eastAsiaTheme="minorHAnsi" w:hAnsiTheme="minorHAnsi" w:cstheme="minorBidi"/>
                <w:szCs w:val="20"/>
              </w:rPr>
            </w:pPr>
            <w:r w:rsidRPr="00E41EEC">
              <w:rPr>
                <w:rFonts w:asciiTheme="minorHAnsi" w:eastAsiaTheme="minorHAnsi" w:hAnsiTheme="minorHAnsi" w:cstheme="minorBidi"/>
                <w:szCs w:val="20"/>
              </w:rPr>
              <w:t>Supply and installation of one (1) submersible three-phase, well pump of 38 - 40 m</w:t>
            </w:r>
            <w:r w:rsidRPr="00E41EEC">
              <w:rPr>
                <w:rFonts w:asciiTheme="minorHAnsi" w:eastAsiaTheme="minorHAnsi" w:hAnsiTheme="minorHAnsi" w:cstheme="minorBidi"/>
                <w:szCs w:val="20"/>
                <w:vertAlign w:val="superscript"/>
              </w:rPr>
              <w:t>3</w:t>
            </w:r>
            <w:r w:rsidRPr="00E41EEC">
              <w:rPr>
                <w:rFonts w:asciiTheme="minorHAnsi" w:eastAsiaTheme="minorHAnsi" w:hAnsiTheme="minorHAnsi" w:cstheme="minorBidi"/>
                <w:szCs w:val="20"/>
              </w:rPr>
              <w:t xml:space="preserve">/h at 50 - 55 m for borehole B1. </w:t>
            </w:r>
          </w:p>
          <w:p w14:paraId="2DA29D71" w14:textId="77777777" w:rsidR="00E41EEC" w:rsidRPr="00B85D50" w:rsidRDefault="00E41EEC" w:rsidP="00B85D50">
            <w:pPr>
              <w:pStyle w:val="ab"/>
              <w:numPr>
                <w:ilvl w:val="0"/>
                <w:numId w:val="2"/>
              </w:numPr>
              <w:rPr>
                <w:rFonts w:asciiTheme="minorHAnsi" w:eastAsiaTheme="minorHAnsi" w:hAnsiTheme="minorHAnsi" w:cstheme="minorBidi"/>
                <w:szCs w:val="20"/>
              </w:rPr>
            </w:pPr>
            <w:r w:rsidRPr="00B85D50">
              <w:rPr>
                <w:rFonts w:asciiTheme="minorHAnsi" w:eastAsiaTheme="minorHAnsi" w:hAnsiTheme="minorHAnsi" w:cstheme="minorBidi"/>
                <w:szCs w:val="20"/>
              </w:rPr>
              <w:t>It should be placed at the depth of 45 – 50 m in the borehole.</w:t>
            </w:r>
          </w:p>
          <w:p w14:paraId="61CBFD19" w14:textId="77777777" w:rsidR="00E41EEC" w:rsidRPr="00E41EEC" w:rsidRDefault="00E41EEC" w:rsidP="00E41EEC">
            <w:pPr>
              <w:numPr>
                <w:ilvl w:val="0"/>
                <w:numId w:val="2"/>
              </w:numPr>
              <w:contextualSpacing/>
              <w:rPr>
                <w:rFonts w:asciiTheme="minorHAnsi" w:eastAsiaTheme="minorHAnsi" w:hAnsiTheme="minorHAnsi" w:cstheme="minorBidi"/>
                <w:szCs w:val="20"/>
              </w:rPr>
            </w:pPr>
            <w:r w:rsidRPr="00E41EEC">
              <w:rPr>
                <w:rFonts w:asciiTheme="minorHAnsi" w:eastAsiaTheme="minorHAnsi" w:hAnsiTheme="minorHAnsi" w:cstheme="minorBidi"/>
                <w:szCs w:val="20"/>
              </w:rPr>
              <w:t xml:space="preserve">The pump materials should be able to withstand the corrosive nature of seawater. </w:t>
            </w:r>
          </w:p>
          <w:p w14:paraId="69B9A283" w14:textId="77777777" w:rsidR="00E41EEC" w:rsidRPr="00E41EEC" w:rsidRDefault="00E41EEC" w:rsidP="00E41EEC">
            <w:pPr>
              <w:numPr>
                <w:ilvl w:val="0"/>
                <w:numId w:val="2"/>
              </w:numPr>
              <w:contextualSpacing/>
              <w:rPr>
                <w:rFonts w:asciiTheme="minorHAnsi" w:eastAsiaTheme="minorHAnsi" w:hAnsiTheme="minorHAnsi" w:cstheme="minorBidi"/>
                <w:szCs w:val="20"/>
              </w:rPr>
            </w:pPr>
            <w:r w:rsidRPr="00E41EEC">
              <w:rPr>
                <w:rFonts w:asciiTheme="minorHAnsi" w:eastAsiaTheme="minorHAnsi" w:hAnsiTheme="minorHAnsi" w:cstheme="minorBidi"/>
                <w:szCs w:val="20"/>
              </w:rPr>
              <w:t>The pump should include a water meter to count the volume of water it forwards towards the seawater desalination units.</w:t>
            </w:r>
          </w:p>
          <w:p w14:paraId="119C7427" w14:textId="77777777" w:rsidR="00E41EEC" w:rsidRPr="00E41EEC" w:rsidRDefault="00E41EEC" w:rsidP="00E41EEC">
            <w:pPr>
              <w:numPr>
                <w:ilvl w:val="0"/>
                <w:numId w:val="2"/>
              </w:numPr>
              <w:contextualSpacing/>
              <w:rPr>
                <w:rFonts w:asciiTheme="minorHAnsi" w:eastAsiaTheme="minorHAnsi" w:hAnsiTheme="minorHAnsi" w:cstheme="minorBidi"/>
                <w:szCs w:val="20"/>
              </w:rPr>
            </w:pPr>
            <w:r w:rsidRPr="00E41EEC">
              <w:rPr>
                <w:rFonts w:asciiTheme="minorHAnsi" w:eastAsiaTheme="minorHAnsi" w:hAnsiTheme="minorHAnsi" w:cstheme="minorBidi"/>
                <w:szCs w:val="20"/>
              </w:rPr>
              <w:t>The pump should have an autonomous pillar type el. board which will be placed behind the Electric Company meters at the nearby housing unit (outdoors).</w:t>
            </w:r>
          </w:p>
          <w:p w14:paraId="3A20B99C" w14:textId="77777777" w:rsidR="00E41EEC" w:rsidRPr="00E41EEC" w:rsidRDefault="00E41EEC" w:rsidP="00E41EEC">
            <w:pPr>
              <w:numPr>
                <w:ilvl w:val="0"/>
                <w:numId w:val="2"/>
              </w:numPr>
              <w:contextualSpacing/>
              <w:rPr>
                <w:rFonts w:asciiTheme="minorHAnsi" w:eastAsiaTheme="minorHAnsi" w:hAnsiTheme="minorHAnsi" w:cstheme="minorBidi"/>
                <w:szCs w:val="20"/>
              </w:rPr>
            </w:pPr>
            <w:r w:rsidRPr="00E41EEC">
              <w:rPr>
                <w:rFonts w:asciiTheme="minorHAnsi" w:eastAsiaTheme="minorHAnsi" w:hAnsiTheme="minorHAnsi" w:cstheme="minorBidi"/>
                <w:szCs w:val="20"/>
              </w:rPr>
              <w:t>The maximum distance between the well and the housing unit is 60 m.</w:t>
            </w:r>
          </w:p>
          <w:p w14:paraId="147D6D6A" w14:textId="77777777" w:rsidR="00E41EEC" w:rsidRPr="00E41EEC" w:rsidRDefault="00E41EEC" w:rsidP="00E41EEC">
            <w:pPr>
              <w:numPr>
                <w:ilvl w:val="0"/>
                <w:numId w:val="2"/>
              </w:numPr>
              <w:contextualSpacing/>
              <w:rPr>
                <w:rFonts w:asciiTheme="minorHAnsi" w:eastAsiaTheme="minorHAnsi" w:hAnsiTheme="minorHAnsi" w:cstheme="minorBidi"/>
                <w:szCs w:val="20"/>
              </w:rPr>
            </w:pPr>
            <w:r w:rsidRPr="00E41EEC">
              <w:rPr>
                <w:rFonts w:asciiTheme="minorHAnsi" w:eastAsiaTheme="minorHAnsi" w:hAnsiTheme="minorHAnsi" w:cstheme="minorBidi"/>
                <w:szCs w:val="20"/>
              </w:rPr>
              <w:t>Origin: USA, Europe</w:t>
            </w:r>
          </w:p>
        </w:tc>
        <w:tc>
          <w:tcPr>
            <w:tcW w:w="1223" w:type="dxa"/>
            <w:shd w:val="clear" w:color="auto" w:fill="auto"/>
            <w:vAlign w:val="center"/>
          </w:tcPr>
          <w:p w14:paraId="2ADB49E2" w14:textId="77777777" w:rsidR="00E41EEC" w:rsidRPr="00E41EEC" w:rsidRDefault="00E41EEC" w:rsidP="00E41EEC">
            <w:pPr>
              <w:jc w:val="center"/>
              <w:rPr>
                <w:rFonts w:asciiTheme="minorHAnsi" w:eastAsiaTheme="minorHAnsi" w:hAnsiTheme="minorHAnsi" w:cstheme="minorBidi"/>
                <w:szCs w:val="20"/>
                <w:lang w:val="el-GR"/>
              </w:rPr>
            </w:pPr>
            <w:r w:rsidRPr="00E41EEC">
              <w:rPr>
                <w:rFonts w:asciiTheme="minorHAnsi" w:eastAsiaTheme="minorHAnsi" w:hAnsiTheme="minorHAnsi" w:cstheme="minorBidi"/>
                <w:szCs w:val="20"/>
              </w:rPr>
              <w:t>Lump sum</w:t>
            </w:r>
          </w:p>
        </w:tc>
        <w:tc>
          <w:tcPr>
            <w:tcW w:w="1383" w:type="dxa"/>
            <w:vAlign w:val="center"/>
          </w:tcPr>
          <w:p w14:paraId="49D446FB" w14:textId="77777777" w:rsidR="00E41EEC" w:rsidRPr="00E41EEC" w:rsidRDefault="00E41EEC" w:rsidP="00E41EEC">
            <w:pPr>
              <w:jc w:val="center"/>
              <w:rPr>
                <w:rFonts w:asciiTheme="minorHAnsi" w:eastAsiaTheme="minorHAnsi" w:hAnsiTheme="minorHAnsi" w:cstheme="minorBidi"/>
                <w:szCs w:val="20"/>
              </w:rPr>
            </w:pPr>
          </w:p>
        </w:tc>
        <w:tc>
          <w:tcPr>
            <w:tcW w:w="1080" w:type="dxa"/>
            <w:vAlign w:val="center"/>
          </w:tcPr>
          <w:p w14:paraId="270BFDAA" w14:textId="77777777" w:rsidR="00E41EEC" w:rsidRPr="00E41EEC" w:rsidRDefault="00E41EEC" w:rsidP="00E41EEC">
            <w:pPr>
              <w:jc w:val="center"/>
              <w:rPr>
                <w:rFonts w:asciiTheme="minorHAnsi" w:eastAsiaTheme="minorHAnsi" w:hAnsiTheme="minorHAnsi" w:cstheme="minorBidi"/>
                <w:szCs w:val="20"/>
              </w:rPr>
            </w:pPr>
          </w:p>
        </w:tc>
        <w:tc>
          <w:tcPr>
            <w:tcW w:w="1170" w:type="dxa"/>
            <w:vAlign w:val="center"/>
          </w:tcPr>
          <w:p w14:paraId="58BB90BC" w14:textId="77777777" w:rsidR="00E41EEC" w:rsidRPr="00E41EEC" w:rsidRDefault="00E41EEC" w:rsidP="00E41EEC">
            <w:pPr>
              <w:jc w:val="center"/>
              <w:rPr>
                <w:rFonts w:asciiTheme="minorHAnsi" w:eastAsiaTheme="minorHAnsi" w:hAnsiTheme="minorHAnsi" w:cstheme="minorBidi"/>
                <w:szCs w:val="20"/>
              </w:rPr>
            </w:pPr>
          </w:p>
        </w:tc>
      </w:tr>
      <w:tr w:rsidR="00E41EEC" w:rsidRPr="00E41EEC" w14:paraId="5C0DE991" w14:textId="2EAC61C0" w:rsidTr="00E41EEC">
        <w:trPr>
          <w:jc w:val="center"/>
        </w:trPr>
        <w:tc>
          <w:tcPr>
            <w:tcW w:w="805" w:type="dxa"/>
            <w:shd w:val="clear" w:color="auto" w:fill="auto"/>
            <w:vAlign w:val="center"/>
          </w:tcPr>
          <w:p w14:paraId="6C5EFB7B" w14:textId="77777777" w:rsidR="00E41EEC" w:rsidRPr="00E41EEC" w:rsidRDefault="00E41EEC" w:rsidP="00E41EEC">
            <w:pPr>
              <w:jc w:val="center"/>
              <w:rPr>
                <w:rFonts w:asciiTheme="minorHAnsi" w:eastAsiaTheme="minorHAnsi" w:hAnsiTheme="minorHAnsi" w:cstheme="minorBidi"/>
                <w:szCs w:val="20"/>
              </w:rPr>
            </w:pPr>
            <w:r w:rsidRPr="00E41EEC">
              <w:rPr>
                <w:rFonts w:asciiTheme="minorHAnsi" w:eastAsiaTheme="minorHAnsi" w:hAnsiTheme="minorHAnsi" w:cstheme="minorBidi"/>
                <w:szCs w:val="20"/>
              </w:rPr>
              <w:t>A2</w:t>
            </w:r>
          </w:p>
        </w:tc>
        <w:tc>
          <w:tcPr>
            <w:tcW w:w="3694" w:type="dxa"/>
            <w:shd w:val="clear" w:color="auto" w:fill="auto"/>
          </w:tcPr>
          <w:p w14:paraId="12E27F51" w14:textId="77777777" w:rsidR="00E41EEC" w:rsidRPr="00E41EEC" w:rsidRDefault="00E41EEC" w:rsidP="00E41EEC">
            <w:pPr>
              <w:rPr>
                <w:rFonts w:asciiTheme="minorHAnsi" w:eastAsiaTheme="minorHAnsi" w:hAnsiTheme="minorHAnsi" w:cstheme="minorBidi"/>
                <w:szCs w:val="20"/>
              </w:rPr>
            </w:pPr>
            <w:r w:rsidRPr="00E41EEC">
              <w:rPr>
                <w:rFonts w:asciiTheme="minorHAnsi" w:eastAsiaTheme="minorHAnsi" w:hAnsiTheme="minorHAnsi" w:cstheme="minorBidi"/>
                <w:szCs w:val="20"/>
              </w:rPr>
              <w:t>Electrical connection of the new well pump.</w:t>
            </w:r>
          </w:p>
          <w:p w14:paraId="163B13FB" w14:textId="77777777" w:rsidR="00E41EEC" w:rsidRPr="00E41EEC" w:rsidRDefault="00E41EEC" w:rsidP="00E41EEC">
            <w:pPr>
              <w:rPr>
                <w:rFonts w:asciiTheme="minorHAnsi" w:eastAsiaTheme="minorHAnsi" w:hAnsiTheme="minorHAnsi" w:cstheme="minorBidi"/>
                <w:szCs w:val="20"/>
              </w:rPr>
            </w:pPr>
            <w:r w:rsidRPr="00E41EEC">
              <w:rPr>
                <w:rFonts w:asciiTheme="minorHAnsi" w:eastAsiaTheme="minorHAnsi" w:hAnsiTheme="minorHAnsi" w:cstheme="minorBidi"/>
                <w:szCs w:val="20"/>
              </w:rPr>
              <w:t xml:space="preserve">The autonomous pillar type el. board will: </w:t>
            </w:r>
          </w:p>
          <w:p w14:paraId="737A3795" w14:textId="77777777" w:rsidR="00E41EEC" w:rsidRPr="00E41EEC" w:rsidRDefault="00E41EEC" w:rsidP="00E41EEC">
            <w:pPr>
              <w:numPr>
                <w:ilvl w:val="0"/>
                <w:numId w:val="6"/>
              </w:numPr>
              <w:contextualSpacing/>
              <w:rPr>
                <w:rFonts w:asciiTheme="minorHAnsi" w:eastAsiaTheme="minorHAnsi" w:hAnsiTheme="minorHAnsi" w:cstheme="minorBidi"/>
                <w:szCs w:val="20"/>
              </w:rPr>
            </w:pPr>
            <w:r w:rsidRPr="00E41EEC">
              <w:rPr>
                <w:rFonts w:asciiTheme="minorHAnsi" w:eastAsiaTheme="minorHAnsi" w:hAnsiTheme="minorHAnsi" w:cstheme="minorBidi"/>
                <w:szCs w:val="20"/>
              </w:rPr>
              <w:t>Receive power from the existing el. board inside the housing unit.</w:t>
            </w:r>
          </w:p>
          <w:p w14:paraId="32B34032" w14:textId="77777777" w:rsidR="00E41EEC" w:rsidRPr="00E41EEC" w:rsidRDefault="00E41EEC" w:rsidP="00E41EEC">
            <w:pPr>
              <w:numPr>
                <w:ilvl w:val="0"/>
                <w:numId w:val="5"/>
              </w:numPr>
              <w:contextualSpacing/>
              <w:rPr>
                <w:rFonts w:asciiTheme="minorHAnsi" w:eastAsiaTheme="minorHAnsi" w:hAnsiTheme="minorHAnsi" w:cstheme="minorBidi"/>
                <w:szCs w:val="20"/>
              </w:rPr>
            </w:pPr>
            <w:r w:rsidRPr="00E41EEC">
              <w:rPr>
                <w:rFonts w:asciiTheme="minorHAnsi" w:eastAsiaTheme="minorHAnsi" w:hAnsiTheme="minorHAnsi" w:cstheme="minorBidi"/>
                <w:szCs w:val="20"/>
              </w:rPr>
              <w:t xml:space="preserve">Receive the high and low-level switch signals (for the operation of the </w:t>
            </w:r>
            <w:r w:rsidRPr="00E41EEC">
              <w:rPr>
                <w:rFonts w:asciiTheme="minorHAnsi" w:eastAsiaTheme="minorHAnsi" w:hAnsiTheme="minorHAnsi" w:cstheme="minorBidi"/>
                <w:szCs w:val="20"/>
              </w:rPr>
              <w:lastRenderedPageBreak/>
              <w:t>pump) from the existing el. board inside the housing unit. The signals come from the seawater tanks installed near the desalination units.</w:t>
            </w:r>
          </w:p>
        </w:tc>
        <w:tc>
          <w:tcPr>
            <w:tcW w:w="1223" w:type="dxa"/>
            <w:shd w:val="clear" w:color="auto" w:fill="auto"/>
            <w:vAlign w:val="center"/>
          </w:tcPr>
          <w:p w14:paraId="21B29BC0" w14:textId="77777777" w:rsidR="00E41EEC" w:rsidRPr="00E41EEC" w:rsidRDefault="00E41EEC" w:rsidP="00E41EEC">
            <w:pPr>
              <w:jc w:val="center"/>
              <w:rPr>
                <w:rFonts w:asciiTheme="minorHAnsi" w:eastAsiaTheme="minorHAnsi" w:hAnsiTheme="minorHAnsi" w:cstheme="minorBidi"/>
                <w:szCs w:val="20"/>
              </w:rPr>
            </w:pPr>
            <w:r w:rsidRPr="00E41EEC">
              <w:rPr>
                <w:rFonts w:asciiTheme="minorHAnsi" w:eastAsiaTheme="minorHAnsi" w:hAnsiTheme="minorHAnsi" w:cstheme="minorBidi"/>
                <w:szCs w:val="20"/>
              </w:rPr>
              <w:lastRenderedPageBreak/>
              <w:t>Lump sum</w:t>
            </w:r>
          </w:p>
        </w:tc>
        <w:tc>
          <w:tcPr>
            <w:tcW w:w="1383" w:type="dxa"/>
            <w:vAlign w:val="center"/>
          </w:tcPr>
          <w:p w14:paraId="620A1880" w14:textId="77777777" w:rsidR="00E41EEC" w:rsidRPr="00E41EEC" w:rsidRDefault="00E41EEC" w:rsidP="00E41EEC">
            <w:pPr>
              <w:jc w:val="center"/>
              <w:rPr>
                <w:rFonts w:asciiTheme="minorHAnsi" w:eastAsiaTheme="minorHAnsi" w:hAnsiTheme="minorHAnsi" w:cstheme="minorBidi"/>
                <w:szCs w:val="20"/>
              </w:rPr>
            </w:pPr>
          </w:p>
        </w:tc>
        <w:tc>
          <w:tcPr>
            <w:tcW w:w="1080" w:type="dxa"/>
            <w:vAlign w:val="center"/>
          </w:tcPr>
          <w:p w14:paraId="688145B5" w14:textId="77777777" w:rsidR="00E41EEC" w:rsidRPr="00E41EEC" w:rsidRDefault="00E41EEC" w:rsidP="00E41EEC">
            <w:pPr>
              <w:jc w:val="center"/>
              <w:rPr>
                <w:rFonts w:asciiTheme="minorHAnsi" w:eastAsiaTheme="minorHAnsi" w:hAnsiTheme="minorHAnsi" w:cstheme="minorBidi"/>
                <w:szCs w:val="20"/>
              </w:rPr>
            </w:pPr>
          </w:p>
        </w:tc>
        <w:tc>
          <w:tcPr>
            <w:tcW w:w="1170" w:type="dxa"/>
            <w:vAlign w:val="center"/>
          </w:tcPr>
          <w:p w14:paraId="262EDA58" w14:textId="77777777" w:rsidR="00E41EEC" w:rsidRPr="00E41EEC" w:rsidRDefault="00E41EEC" w:rsidP="00E41EEC">
            <w:pPr>
              <w:jc w:val="center"/>
              <w:rPr>
                <w:rFonts w:asciiTheme="minorHAnsi" w:eastAsiaTheme="minorHAnsi" w:hAnsiTheme="minorHAnsi" w:cstheme="minorBidi"/>
                <w:szCs w:val="20"/>
              </w:rPr>
            </w:pPr>
          </w:p>
        </w:tc>
      </w:tr>
      <w:tr w:rsidR="00E41EEC" w:rsidRPr="00E41EEC" w14:paraId="7B552488" w14:textId="6E7B2268" w:rsidTr="00E41EEC">
        <w:trPr>
          <w:jc w:val="center"/>
        </w:trPr>
        <w:tc>
          <w:tcPr>
            <w:tcW w:w="805" w:type="dxa"/>
            <w:shd w:val="clear" w:color="auto" w:fill="auto"/>
            <w:vAlign w:val="center"/>
          </w:tcPr>
          <w:p w14:paraId="1CC65132" w14:textId="77777777" w:rsidR="00E41EEC" w:rsidRPr="00E41EEC" w:rsidRDefault="00E41EEC" w:rsidP="00E41EEC">
            <w:pPr>
              <w:jc w:val="center"/>
              <w:rPr>
                <w:rFonts w:asciiTheme="minorHAnsi" w:eastAsiaTheme="minorHAnsi" w:hAnsiTheme="minorHAnsi" w:cstheme="minorBidi"/>
                <w:szCs w:val="20"/>
              </w:rPr>
            </w:pPr>
            <w:r w:rsidRPr="00E41EEC">
              <w:rPr>
                <w:rFonts w:asciiTheme="minorHAnsi" w:eastAsiaTheme="minorHAnsi" w:hAnsiTheme="minorHAnsi" w:cstheme="minorBidi"/>
                <w:szCs w:val="20"/>
              </w:rPr>
              <w:t>A3</w:t>
            </w:r>
          </w:p>
        </w:tc>
        <w:tc>
          <w:tcPr>
            <w:tcW w:w="3694" w:type="dxa"/>
            <w:shd w:val="clear" w:color="auto" w:fill="auto"/>
          </w:tcPr>
          <w:p w14:paraId="7F25A5C1" w14:textId="77777777" w:rsidR="00E41EEC" w:rsidRPr="00E41EEC" w:rsidRDefault="00E41EEC" w:rsidP="00E41EEC">
            <w:pPr>
              <w:rPr>
                <w:rFonts w:asciiTheme="minorHAnsi" w:eastAsiaTheme="minorHAnsi" w:hAnsiTheme="minorHAnsi" w:cstheme="minorBidi"/>
                <w:szCs w:val="20"/>
              </w:rPr>
            </w:pPr>
            <w:r w:rsidRPr="00E41EEC">
              <w:rPr>
                <w:rFonts w:asciiTheme="minorHAnsi" w:eastAsiaTheme="minorHAnsi" w:hAnsiTheme="minorHAnsi" w:cstheme="minorBidi"/>
                <w:szCs w:val="20"/>
              </w:rPr>
              <w:t>Hydraulic connection of the new well pump to the seawater tanks.</w:t>
            </w:r>
          </w:p>
          <w:p w14:paraId="6254DEF6" w14:textId="77777777" w:rsidR="00E41EEC" w:rsidRPr="00E41EEC" w:rsidRDefault="00E41EEC" w:rsidP="00E41EEC">
            <w:pPr>
              <w:numPr>
                <w:ilvl w:val="0"/>
                <w:numId w:val="5"/>
              </w:numPr>
              <w:contextualSpacing/>
              <w:rPr>
                <w:rFonts w:asciiTheme="minorHAnsi" w:eastAsiaTheme="minorHAnsi" w:hAnsiTheme="minorHAnsi" w:cstheme="minorBidi"/>
                <w:szCs w:val="20"/>
              </w:rPr>
            </w:pPr>
            <w:r w:rsidRPr="00E41EEC">
              <w:rPr>
                <w:rFonts w:asciiTheme="minorHAnsi" w:eastAsiaTheme="minorHAnsi" w:hAnsiTheme="minorHAnsi" w:cstheme="minorBidi"/>
                <w:szCs w:val="20"/>
                <w:lang w:val="el-GR"/>
              </w:rPr>
              <w:t>Φ</w:t>
            </w:r>
            <w:r w:rsidRPr="00E41EEC">
              <w:rPr>
                <w:rFonts w:asciiTheme="minorHAnsi" w:eastAsiaTheme="minorHAnsi" w:hAnsiTheme="minorHAnsi" w:cstheme="minorBidi"/>
                <w:szCs w:val="20"/>
              </w:rPr>
              <w:t xml:space="preserve">110, PN10, HDPE pipe should be used. </w:t>
            </w:r>
          </w:p>
          <w:p w14:paraId="6CFA7B53" w14:textId="170A5EA4" w:rsidR="00E41EEC" w:rsidRPr="00E41EEC" w:rsidRDefault="00E41EEC" w:rsidP="00E41EEC">
            <w:pPr>
              <w:numPr>
                <w:ilvl w:val="0"/>
                <w:numId w:val="3"/>
              </w:numPr>
              <w:contextualSpacing/>
              <w:rPr>
                <w:rFonts w:asciiTheme="minorHAnsi" w:eastAsiaTheme="minorHAnsi" w:hAnsiTheme="minorHAnsi" w:cstheme="minorBidi"/>
                <w:szCs w:val="20"/>
              </w:rPr>
            </w:pPr>
            <w:r w:rsidRPr="00E41EEC">
              <w:rPr>
                <w:rFonts w:asciiTheme="minorHAnsi" w:eastAsiaTheme="minorHAnsi" w:hAnsiTheme="minorHAnsi" w:cstheme="minorBidi"/>
                <w:szCs w:val="20"/>
              </w:rPr>
              <w:t xml:space="preserve">The maximum distance between the well and the seawater tanks is </w:t>
            </w:r>
            <w:r w:rsidR="00B85D50">
              <w:rPr>
                <w:rFonts w:asciiTheme="minorHAnsi" w:eastAsiaTheme="minorHAnsi" w:hAnsiTheme="minorHAnsi" w:cstheme="minorBidi"/>
                <w:szCs w:val="20"/>
              </w:rPr>
              <w:t>7</w:t>
            </w:r>
            <w:r w:rsidRPr="00E41EEC">
              <w:rPr>
                <w:rFonts w:asciiTheme="minorHAnsi" w:eastAsiaTheme="minorHAnsi" w:hAnsiTheme="minorHAnsi" w:cstheme="minorBidi"/>
                <w:szCs w:val="20"/>
              </w:rPr>
              <w:t>0 m.</w:t>
            </w:r>
          </w:p>
        </w:tc>
        <w:tc>
          <w:tcPr>
            <w:tcW w:w="1223" w:type="dxa"/>
            <w:shd w:val="clear" w:color="auto" w:fill="auto"/>
            <w:vAlign w:val="center"/>
          </w:tcPr>
          <w:p w14:paraId="605A17EF" w14:textId="77777777" w:rsidR="00E41EEC" w:rsidRPr="00E41EEC" w:rsidRDefault="00E41EEC" w:rsidP="00E41EEC">
            <w:pPr>
              <w:jc w:val="center"/>
              <w:rPr>
                <w:rFonts w:asciiTheme="minorHAnsi" w:eastAsiaTheme="minorHAnsi" w:hAnsiTheme="minorHAnsi" w:cstheme="minorBidi"/>
                <w:szCs w:val="20"/>
              </w:rPr>
            </w:pPr>
            <w:r w:rsidRPr="00E41EEC">
              <w:rPr>
                <w:rFonts w:asciiTheme="minorHAnsi" w:eastAsiaTheme="minorHAnsi" w:hAnsiTheme="minorHAnsi" w:cstheme="minorBidi"/>
                <w:szCs w:val="20"/>
              </w:rPr>
              <w:t>Lump sum</w:t>
            </w:r>
          </w:p>
        </w:tc>
        <w:tc>
          <w:tcPr>
            <w:tcW w:w="1383" w:type="dxa"/>
          </w:tcPr>
          <w:p w14:paraId="0C805C0F" w14:textId="77777777" w:rsidR="00E41EEC" w:rsidRPr="00E41EEC" w:rsidRDefault="00E41EEC" w:rsidP="00E41EEC">
            <w:pPr>
              <w:jc w:val="center"/>
              <w:rPr>
                <w:rFonts w:asciiTheme="minorHAnsi" w:eastAsiaTheme="minorHAnsi" w:hAnsiTheme="minorHAnsi" w:cstheme="minorBidi"/>
                <w:szCs w:val="20"/>
              </w:rPr>
            </w:pPr>
          </w:p>
        </w:tc>
        <w:tc>
          <w:tcPr>
            <w:tcW w:w="1080" w:type="dxa"/>
          </w:tcPr>
          <w:p w14:paraId="632E56F0" w14:textId="77777777" w:rsidR="00E41EEC" w:rsidRPr="00E41EEC" w:rsidRDefault="00E41EEC" w:rsidP="00E41EEC">
            <w:pPr>
              <w:jc w:val="center"/>
              <w:rPr>
                <w:rFonts w:asciiTheme="minorHAnsi" w:eastAsiaTheme="minorHAnsi" w:hAnsiTheme="minorHAnsi" w:cstheme="minorBidi"/>
                <w:szCs w:val="20"/>
              </w:rPr>
            </w:pPr>
          </w:p>
        </w:tc>
        <w:tc>
          <w:tcPr>
            <w:tcW w:w="1170" w:type="dxa"/>
          </w:tcPr>
          <w:p w14:paraId="04E3D1B7" w14:textId="77777777" w:rsidR="00E41EEC" w:rsidRPr="00E41EEC" w:rsidRDefault="00E41EEC" w:rsidP="00E41EEC">
            <w:pPr>
              <w:jc w:val="center"/>
              <w:rPr>
                <w:rFonts w:asciiTheme="minorHAnsi" w:eastAsiaTheme="minorHAnsi" w:hAnsiTheme="minorHAnsi" w:cstheme="minorBidi"/>
                <w:szCs w:val="20"/>
              </w:rPr>
            </w:pPr>
          </w:p>
        </w:tc>
      </w:tr>
      <w:tr w:rsidR="00E41EEC" w:rsidRPr="00E41EEC" w14:paraId="75ECEC73" w14:textId="32F11C8B" w:rsidTr="00127D4B">
        <w:trPr>
          <w:jc w:val="center"/>
        </w:trPr>
        <w:tc>
          <w:tcPr>
            <w:tcW w:w="9355" w:type="dxa"/>
            <w:gridSpan w:val="6"/>
            <w:shd w:val="clear" w:color="auto" w:fill="auto"/>
          </w:tcPr>
          <w:p w14:paraId="66E0C9C6" w14:textId="77777777" w:rsidR="00E41EEC" w:rsidRPr="00E41EEC" w:rsidRDefault="00E41EEC" w:rsidP="00E41EEC">
            <w:pPr>
              <w:rPr>
                <w:rFonts w:asciiTheme="minorHAnsi" w:eastAsiaTheme="minorHAnsi" w:hAnsiTheme="minorHAnsi" w:cstheme="minorBidi"/>
                <w:szCs w:val="20"/>
              </w:rPr>
            </w:pPr>
          </w:p>
        </w:tc>
      </w:tr>
      <w:tr w:rsidR="00E41EEC" w:rsidRPr="00E41EEC" w14:paraId="07ACC473" w14:textId="58A9A37E" w:rsidTr="004E332A">
        <w:trPr>
          <w:jc w:val="center"/>
        </w:trPr>
        <w:tc>
          <w:tcPr>
            <w:tcW w:w="9355" w:type="dxa"/>
            <w:gridSpan w:val="6"/>
            <w:shd w:val="clear" w:color="auto" w:fill="auto"/>
          </w:tcPr>
          <w:p w14:paraId="7EF20E8F" w14:textId="11C43DF2" w:rsidR="00E41EEC" w:rsidRPr="00E41EEC" w:rsidRDefault="00E41EEC" w:rsidP="00E41EEC">
            <w:pPr>
              <w:rPr>
                <w:rFonts w:asciiTheme="minorHAnsi" w:eastAsiaTheme="minorHAnsi" w:hAnsiTheme="minorHAnsi" w:cstheme="minorBidi"/>
                <w:b/>
                <w:bCs/>
                <w:szCs w:val="20"/>
              </w:rPr>
            </w:pPr>
            <w:r w:rsidRPr="00E41EEC">
              <w:rPr>
                <w:rFonts w:asciiTheme="minorHAnsi" w:eastAsiaTheme="minorHAnsi" w:hAnsiTheme="minorHAnsi" w:cstheme="minorBidi"/>
                <w:b/>
                <w:bCs/>
                <w:szCs w:val="20"/>
              </w:rPr>
              <w:t>B. Connection of the Brine Disposing Well</w:t>
            </w:r>
          </w:p>
        </w:tc>
      </w:tr>
      <w:tr w:rsidR="00E41EEC" w:rsidRPr="00E41EEC" w14:paraId="6ED00E91" w14:textId="27257278" w:rsidTr="00E41EEC">
        <w:trPr>
          <w:jc w:val="center"/>
        </w:trPr>
        <w:tc>
          <w:tcPr>
            <w:tcW w:w="805" w:type="dxa"/>
            <w:shd w:val="clear" w:color="auto" w:fill="auto"/>
            <w:vAlign w:val="center"/>
          </w:tcPr>
          <w:p w14:paraId="09F918FE" w14:textId="77777777" w:rsidR="00E41EEC" w:rsidRPr="00E41EEC" w:rsidRDefault="00E41EEC" w:rsidP="00E41EEC">
            <w:pPr>
              <w:jc w:val="center"/>
              <w:rPr>
                <w:rFonts w:asciiTheme="minorHAnsi" w:eastAsiaTheme="minorHAnsi" w:hAnsiTheme="minorHAnsi" w:cstheme="minorBidi"/>
                <w:szCs w:val="20"/>
              </w:rPr>
            </w:pPr>
            <w:r w:rsidRPr="00E41EEC">
              <w:rPr>
                <w:rFonts w:asciiTheme="minorHAnsi" w:eastAsiaTheme="minorHAnsi" w:hAnsiTheme="minorHAnsi" w:cstheme="minorBidi"/>
                <w:szCs w:val="20"/>
              </w:rPr>
              <w:t>B1</w:t>
            </w:r>
          </w:p>
        </w:tc>
        <w:tc>
          <w:tcPr>
            <w:tcW w:w="3694" w:type="dxa"/>
            <w:shd w:val="clear" w:color="auto" w:fill="auto"/>
          </w:tcPr>
          <w:p w14:paraId="34407801" w14:textId="77777777" w:rsidR="00E41EEC" w:rsidRPr="00E41EEC" w:rsidRDefault="00E41EEC" w:rsidP="00E41EEC">
            <w:pPr>
              <w:rPr>
                <w:rFonts w:asciiTheme="minorHAnsi" w:eastAsiaTheme="minorHAnsi" w:hAnsiTheme="minorHAnsi" w:cstheme="minorBidi"/>
                <w:szCs w:val="20"/>
              </w:rPr>
            </w:pPr>
            <w:r w:rsidRPr="00E41EEC">
              <w:rPr>
                <w:rFonts w:asciiTheme="minorHAnsi" w:eastAsiaTheme="minorHAnsi" w:hAnsiTheme="minorHAnsi" w:cstheme="minorBidi"/>
                <w:szCs w:val="20"/>
              </w:rPr>
              <w:t>Hydraulic connection of the desalination units’ drainage to the new brine disposal wells.</w:t>
            </w:r>
          </w:p>
          <w:p w14:paraId="28488CE4" w14:textId="77777777" w:rsidR="00E41EEC" w:rsidRPr="00E41EEC" w:rsidRDefault="00E41EEC" w:rsidP="00E41EEC">
            <w:pPr>
              <w:numPr>
                <w:ilvl w:val="0"/>
                <w:numId w:val="5"/>
              </w:numPr>
              <w:contextualSpacing/>
              <w:rPr>
                <w:rFonts w:asciiTheme="minorHAnsi" w:eastAsiaTheme="minorHAnsi" w:hAnsiTheme="minorHAnsi" w:cstheme="minorBidi"/>
                <w:szCs w:val="20"/>
              </w:rPr>
            </w:pPr>
            <w:r w:rsidRPr="00E41EEC">
              <w:rPr>
                <w:rFonts w:asciiTheme="minorHAnsi" w:eastAsiaTheme="minorHAnsi" w:hAnsiTheme="minorHAnsi" w:cstheme="minorBidi"/>
                <w:szCs w:val="20"/>
              </w:rPr>
              <w:t>The produced brine is collected in a manhole behind the 1</w:t>
            </w:r>
            <w:r w:rsidRPr="00E41EEC">
              <w:rPr>
                <w:rFonts w:asciiTheme="minorHAnsi" w:eastAsiaTheme="minorHAnsi" w:hAnsiTheme="minorHAnsi" w:cstheme="minorBidi"/>
                <w:szCs w:val="20"/>
                <w:vertAlign w:val="superscript"/>
              </w:rPr>
              <w:t>st</w:t>
            </w:r>
            <w:r w:rsidRPr="00E41EEC">
              <w:rPr>
                <w:rFonts w:asciiTheme="minorHAnsi" w:eastAsiaTheme="minorHAnsi" w:hAnsiTheme="minorHAnsi" w:cstheme="minorBidi"/>
                <w:szCs w:val="20"/>
              </w:rPr>
              <w:t xml:space="preserve"> desalination unit (nearest to the seawater tanks) and is forwarded to the existing boreholes via gravity.</w:t>
            </w:r>
          </w:p>
          <w:p w14:paraId="0251C818" w14:textId="77777777" w:rsidR="00E41EEC" w:rsidRPr="00E41EEC" w:rsidRDefault="00E41EEC" w:rsidP="00E41EEC">
            <w:pPr>
              <w:numPr>
                <w:ilvl w:val="0"/>
                <w:numId w:val="5"/>
              </w:numPr>
              <w:contextualSpacing/>
              <w:rPr>
                <w:rFonts w:asciiTheme="minorHAnsi" w:eastAsiaTheme="minorHAnsi" w:hAnsiTheme="minorHAnsi" w:cstheme="minorBidi"/>
                <w:szCs w:val="20"/>
              </w:rPr>
            </w:pPr>
            <w:r w:rsidRPr="00E41EEC">
              <w:rPr>
                <w:rFonts w:asciiTheme="minorHAnsi" w:eastAsiaTheme="minorHAnsi" w:hAnsiTheme="minorHAnsi" w:cstheme="minorBidi"/>
                <w:szCs w:val="20"/>
                <w:lang w:val="el-GR"/>
              </w:rPr>
              <w:t>Φ</w:t>
            </w:r>
            <w:r w:rsidRPr="00E41EEC">
              <w:rPr>
                <w:rFonts w:asciiTheme="minorHAnsi" w:eastAsiaTheme="minorHAnsi" w:hAnsiTheme="minorHAnsi" w:cstheme="minorBidi"/>
                <w:szCs w:val="20"/>
              </w:rPr>
              <w:t xml:space="preserve">125, PN10, HDPE pipe should be used for the connection of the manhole to the new brine disposal boreholes.  </w:t>
            </w:r>
          </w:p>
          <w:p w14:paraId="1675FC37" w14:textId="623A31E9" w:rsidR="00E41EEC" w:rsidRPr="00E41EEC" w:rsidRDefault="00E41EEC" w:rsidP="00E41EEC">
            <w:pPr>
              <w:numPr>
                <w:ilvl w:val="0"/>
                <w:numId w:val="5"/>
              </w:numPr>
              <w:contextualSpacing/>
              <w:rPr>
                <w:rFonts w:asciiTheme="minorHAnsi" w:eastAsiaTheme="minorHAnsi" w:hAnsiTheme="minorHAnsi" w:cstheme="minorBidi"/>
                <w:szCs w:val="20"/>
              </w:rPr>
            </w:pPr>
            <w:r w:rsidRPr="00E41EEC">
              <w:rPr>
                <w:rFonts w:asciiTheme="minorHAnsi" w:eastAsiaTheme="minorHAnsi" w:hAnsiTheme="minorHAnsi" w:cstheme="minorBidi"/>
                <w:szCs w:val="20"/>
              </w:rPr>
              <w:t>The distance between the brine disposal manhole and the new brine disposal boreholes is 1</w:t>
            </w:r>
            <w:r w:rsidR="00B85D50">
              <w:rPr>
                <w:rFonts w:asciiTheme="minorHAnsi" w:eastAsiaTheme="minorHAnsi" w:hAnsiTheme="minorHAnsi" w:cstheme="minorBidi"/>
                <w:szCs w:val="20"/>
              </w:rPr>
              <w:t>1</w:t>
            </w:r>
            <w:r w:rsidRPr="00E41EEC">
              <w:rPr>
                <w:rFonts w:asciiTheme="minorHAnsi" w:eastAsiaTheme="minorHAnsi" w:hAnsiTheme="minorHAnsi" w:cstheme="minorBidi"/>
                <w:szCs w:val="20"/>
              </w:rPr>
              <w:t>0 m.</w:t>
            </w:r>
          </w:p>
          <w:p w14:paraId="47598600" w14:textId="77777777" w:rsidR="00E41EEC" w:rsidRPr="00E41EEC" w:rsidRDefault="00E41EEC" w:rsidP="00E41EEC">
            <w:pPr>
              <w:numPr>
                <w:ilvl w:val="0"/>
                <w:numId w:val="5"/>
              </w:numPr>
              <w:contextualSpacing/>
              <w:rPr>
                <w:rFonts w:asciiTheme="minorHAnsi" w:eastAsiaTheme="minorHAnsi" w:hAnsiTheme="minorHAnsi" w:cstheme="minorBidi"/>
                <w:szCs w:val="20"/>
              </w:rPr>
            </w:pPr>
            <w:r w:rsidRPr="00E41EEC">
              <w:rPr>
                <w:rFonts w:asciiTheme="minorHAnsi" w:eastAsiaTheme="minorHAnsi" w:hAnsiTheme="minorHAnsi" w:cstheme="minorBidi"/>
                <w:szCs w:val="20"/>
              </w:rPr>
              <w:t>The new piping should exploit gravity as well.</w:t>
            </w:r>
          </w:p>
        </w:tc>
        <w:tc>
          <w:tcPr>
            <w:tcW w:w="1223" w:type="dxa"/>
            <w:shd w:val="clear" w:color="auto" w:fill="auto"/>
            <w:vAlign w:val="center"/>
          </w:tcPr>
          <w:p w14:paraId="50768B6F" w14:textId="77777777" w:rsidR="00E41EEC" w:rsidRPr="00E41EEC" w:rsidRDefault="00E41EEC" w:rsidP="00E41EEC">
            <w:pPr>
              <w:rPr>
                <w:rFonts w:asciiTheme="minorHAnsi" w:eastAsiaTheme="minorHAnsi" w:hAnsiTheme="minorHAnsi" w:cstheme="minorBidi"/>
                <w:szCs w:val="20"/>
              </w:rPr>
            </w:pPr>
            <w:r w:rsidRPr="00E41EEC">
              <w:rPr>
                <w:rFonts w:asciiTheme="minorHAnsi" w:eastAsiaTheme="minorHAnsi" w:hAnsiTheme="minorHAnsi" w:cstheme="minorBidi"/>
                <w:szCs w:val="20"/>
              </w:rPr>
              <w:t>Lump sum</w:t>
            </w:r>
          </w:p>
        </w:tc>
        <w:tc>
          <w:tcPr>
            <w:tcW w:w="1383" w:type="dxa"/>
            <w:vAlign w:val="center"/>
          </w:tcPr>
          <w:p w14:paraId="52DEC001" w14:textId="77777777" w:rsidR="00E41EEC" w:rsidRPr="00E41EEC" w:rsidRDefault="00E41EEC" w:rsidP="00E41EEC">
            <w:pPr>
              <w:rPr>
                <w:rFonts w:asciiTheme="minorHAnsi" w:eastAsiaTheme="minorHAnsi" w:hAnsiTheme="minorHAnsi" w:cstheme="minorBidi"/>
                <w:szCs w:val="20"/>
              </w:rPr>
            </w:pPr>
          </w:p>
        </w:tc>
        <w:tc>
          <w:tcPr>
            <w:tcW w:w="1080" w:type="dxa"/>
            <w:vAlign w:val="center"/>
          </w:tcPr>
          <w:p w14:paraId="480E2663" w14:textId="77777777" w:rsidR="00E41EEC" w:rsidRPr="00E41EEC" w:rsidRDefault="00E41EEC" w:rsidP="00E41EEC">
            <w:pPr>
              <w:rPr>
                <w:rFonts w:asciiTheme="minorHAnsi" w:eastAsiaTheme="minorHAnsi" w:hAnsiTheme="minorHAnsi" w:cstheme="minorBidi"/>
                <w:szCs w:val="20"/>
              </w:rPr>
            </w:pPr>
          </w:p>
        </w:tc>
        <w:tc>
          <w:tcPr>
            <w:tcW w:w="1170" w:type="dxa"/>
            <w:vAlign w:val="center"/>
          </w:tcPr>
          <w:p w14:paraId="62A53C6F" w14:textId="77777777" w:rsidR="00E41EEC" w:rsidRPr="00E41EEC" w:rsidRDefault="00E41EEC" w:rsidP="00E41EEC">
            <w:pPr>
              <w:rPr>
                <w:rFonts w:asciiTheme="minorHAnsi" w:eastAsiaTheme="minorHAnsi" w:hAnsiTheme="minorHAnsi" w:cstheme="minorBidi"/>
                <w:szCs w:val="20"/>
              </w:rPr>
            </w:pPr>
          </w:p>
        </w:tc>
      </w:tr>
      <w:tr w:rsidR="00E41EEC" w:rsidRPr="00E41EEC" w14:paraId="27C3F3D8" w14:textId="780C5C2A" w:rsidTr="00E41EEC">
        <w:trPr>
          <w:jc w:val="center"/>
        </w:trPr>
        <w:tc>
          <w:tcPr>
            <w:tcW w:w="805" w:type="dxa"/>
            <w:shd w:val="clear" w:color="auto" w:fill="auto"/>
            <w:vAlign w:val="center"/>
          </w:tcPr>
          <w:p w14:paraId="3ECBCA6F" w14:textId="77777777" w:rsidR="00E41EEC" w:rsidRPr="00E41EEC" w:rsidRDefault="00E41EEC" w:rsidP="00E41EEC">
            <w:pPr>
              <w:jc w:val="center"/>
              <w:rPr>
                <w:rFonts w:asciiTheme="minorHAnsi" w:eastAsiaTheme="minorHAnsi" w:hAnsiTheme="minorHAnsi" w:cstheme="minorBidi"/>
                <w:szCs w:val="20"/>
              </w:rPr>
            </w:pPr>
            <w:r w:rsidRPr="00E41EEC">
              <w:rPr>
                <w:rFonts w:asciiTheme="minorHAnsi" w:eastAsiaTheme="minorHAnsi" w:hAnsiTheme="minorHAnsi" w:cstheme="minorBidi"/>
                <w:szCs w:val="20"/>
              </w:rPr>
              <w:t>B2</w:t>
            </w:r>
          </w:p>
        </w:tc>
        <w:tc>
          <w:tcPr>
            <w:tcW w:w="3694" w:type="dxa"/>
            <w:shd w:val="clear" w:color="auto" w:fill="auto"/>
          </w:tcPr>
          <w:p w14:paraId="2B21E49C" w14:textId="77777777" w:rsidR="00E41EEC" w:rsidRPr="00E41EEC" w:rsidRDefault="00E41EEC" w:rsidP="00E41EEC">
            <w:pPr>
              <w:rPr>
                <w:rFonts w:asciiTheme="minorHAnsi" w:eastAsiaTheme="minorHAnsi" w:hAnsiTheme="minorHAnsi" w:cstheme="minorBidi"/>
                <w:szCs w:val="20"/>
              </w:rPr>
            </w:pPr>
            <w:r w:rsidRPr="00E41EEC">
              <w:rPr>
                <w:rFonts w:asciiTheme="minorHAnsi" w:eastAsiaTheme="minorHAnsi" w:hAnsiTheme="minorHAnsi" w:cstheme="minorBidi"/>
                <w:szCs w:val="20"/>
              </w:rPr>
              <w:t>Road passing:</w:t>
            </w:r>
          </w:p>
          <w:p w14:paraId="4E4BF7CF" w14:textId="77777777" w:rsidR="00E41EEC" w:rsidRPr="00E41EEC" w:rsidRDefault="00E41EEC" w:rsidP="00E41EEC">
            <w:pPr>
              <w:numPr>
                <w:ilvl w:val="0"/>
                <w:numId w:val="8"/>
              </w:numPr>
              <w:contextualSpacing/>
              <w:rPr>
                <w:rFonts w:asciiTheme="minorHAnsi" w:eastAsiaTheme="minorHAnsi" w:hAnsiTheme="minorHAnsi" w:cstheme="minorBidi"/>
                <w:szCs w:val="20"/>
              </w:rPr>
            </w:pPr>
            <w:r w:rsidRPr="00E41EEC">
              <w:rPr>
                <w:rFonts w:asciiTheme="minorHAnsi" w:eastAsiaTheme="minorHAnsi" w:hAnsiTheme="minorHAnsi" w:cstheme="minorBidi"/>
                <w:szCs w:val="20"/>
              </w:rPr>
              <w:t>For the HDPE pipe to reach the brine disposal boreholes, it will have to pass below a 7 m wide road that connects the port to Chora.</w:t>
            </w:r>
          </w:p>
          <w:p w14:paraId="536E9072" w14:textId="77777777" w:rsidR="00E41EEC" w:rsidRPr="00E41EEC" w:rsidRDefault="00E41EEC" w:rsidP="00E41EEC">
            <w:pPr>
              <w:numPr>
                <w:ilvl w:val="0"/>
                <w:numId w:val="8"/>
              </w:numPr>
              <w:contextualSpacing/>
              <w:rPr>
                <w:rFonts w:asciiTheme="minorHAnsi" w:eastAsiaTheme="minorHAnsi" w:hAnsiTheme="minorHAnsi" w:cstheme="minorBidi"/>
                <w:szCs w:val="20"/>
              </w:rPr>
            </w:pPr>
            <w:r w:rsidRPr="00E41EEC">
              <w:rPr>
                <w:rFonts w:asciiTheme="minorHAnsi" w:eastAsiaTheme="minorHAnsi" w:hAnsiTheme="minorHAnsi" w:cstheme="minorBidi"/>
                <w:szCs w:val="20"/>
              </w:rPr>
              <w:t>Since this is the only road that connects the port to Chora, it must be restored after the passing of the pipe.</w:t>
            </w:r>
          </w:p>
          <w:p w14:paraId="53A853DC" w14:textId="77777777" w:rsidR="00E41EEC" w:rsidRPr="00E41EEC" w:rsidRDefault="00E41EEC" w:rsidP="00E41EEC">
            <w:pPr>
              <w:numPr>
                <w:ilvl w:val="0"/>
                <w:numId w:val="8"/>
              </w:numPr>
              <w:contextualSpacing/>
              <w:rPr>
                <w:rFonts w:asciiTheme="minorHAnsi" w:eastAsiaTheme="minorHAnsi" w:hAnsiTheme="minorHAnsi" w:cstheme="minorBidi"/>
                <w:szCs w:val="20"/>
              </w:rPr>
            </w:pPr>
            <w:r w:rsidRPr="00E41EEC">
              <w:rPr>
                <w:rFonts w:asciiTheme="minorHAnsi" w:eastAsiaTheme="minorHAnsi" w:hAnsiTheme="minorHAnsi" w:cstheme="minorBidi"/>
                <w:szCs w:val="20"/>
              </w:rPr>
              <w:t>Additionally, the road traffic should not be compromised until the restoration of the road (e.g. by using metal ramps / covers).</w:t>
            </w:r>
          </w:p>
        </w:tc>
        <w:tc>
          <w:tcPr>
            <w:tcW w:w="1223" w:type="dxa"/>
            <w:shd w:val="clear" w:color="auto" w:fill="auto"/>
            <w:vAlign w:val="center"/>
          </w:tcPr>
          <w:p w14:paraId="7BA5EEB8" w14:textId="77777777" w:rsidR="00E41EEC" w:rsidRPr="00E41EEC" w:rsidRDefault="00E41EEC" w:rsidP="00E41EEC">
            <w:pPr>
              <w:rPr>
                <w:rFonts w:asciiTheme="minorHAnsi" w:eastAsiaTheme="minorHAnsi" w:hAnsiTheme="minorHAnsi" w:cstheme="minorBidi"/>
                <w:szCs w:val="20"/>
              </w:rPr>
            </w:pPr>
            <w:r w:rsidRPr="00E41EEC">
              <w:rPr>
                <w:rFonts w:asciiTheme="minorHAnsi" w:eastAsiaTheme="minorHAnsi" w:hAnsiTheme="minorHAnsi" w:cstheme="minorBidi"/>
                <w:szCs w:val="20"/>
              </w:rPr>
              <w:t>Lump sum</w:t>
            </w:r>
          </w:p>
        </w:tc>
        <w:tc>
          <w:tcPr>
            <w:tcW w:w="1383" w:type="dxa"/>
            <w:vAlign w:val="center"/>
          </w:tcPr>
          <w:p w14:paraId="21781C4E" w14:textId="77777777" w:rsidR="00E41EEC" w:rsidRPr="00E41EEC" w:rsidRDefault="00E41EEC" w:rsidP="00E41EEC">
            <w:pPr>
              <w:rPr>
                <w:rFonts w:asciiTheme="minorHAnsi" w:eastAsiaTheme="minorHAnsi" w:hAnsiTheme="minorHAnsi" w:cstheme="minorBidi"/>
                <w:szCs w:val="20"/>
              </w:rPr>
            </w:pPr>
          </w:p>
        </w:tc>
        <w:tc>
          <w:tcPr>
            <w:tcW w:w="1080" w:type="dxa"/>
            <w:vAlign w:val="center"/>
          </w:tcPr>
          <w:p w14:paraId="7132A46D" w14:textId="77777777" w:rsidR="00E41EEC" w:rsidRPr="00E41EEC" w:rsidRDefault="00E41EEC" w:rsidP="00E41EEC">
            <w:pPr>
              <w:rPr>
                <w:rFonts w:asciiTheme="minorHAnsi" w:eastAsiaTheme="minorHAnsi" w:hAnsiTheme="minorHAnsi" w:cstheme="minorBidi"/>
                <w:szCs w:val="20"/>
              </w:rPr>
            </w:pPr>
          </w:p>
        </w:tc>
        <w:tc>
          <w:tcPr>
            <w:tcW w:w="1170" w:type="dxa"/>
            <w:vAlign w:val="center"/>
          </w:tcPr>
          <w:p w14:paraId="0D38C267" w14:textId="77777777" w:rsidR="00E41EEC" w:rsidRPr="00E41EEC" w:rsidRDefault="00E41EEC" w:rsidP="00E41EEC">
            <w:pPr>
              <w:rPr>
                <w:rFonts w:asciiTheme="minorHAnsi" w:eastAsiaTheme="minorHAnsi" w:hAnsiTheme="minorHAnsi" w:cstheme="minorBidi"/>
                <w:szCs w:val="20"/>
              </w:rPr>
            </w:pPr>
          </w:p>
        </w:tc>
      </w:tr>
      <w:tr w:rsidR="00E41EEC" w:rsidRPr="00E41EEC" w14:paraId="4D992E97" w14:textId="5586A8BB" w:rsidTr="00E41EEC">
        <w:trPr>
          <w:jc w:val="center"/>
        </w:trPr>
        <w:tc>
          <w:tcPr>
            <w:tcW w:w="805" w:type="dxa"/>
            <w:shd w:val="clear" w:color="auto" w:fill="auto"/>
            <w:vAlign w:val="center"/>
          </w:tcPr>
          <w:p w14:paraId="236E67A2" w14:textId="77777777" w:rsidR="00E41EEC" w:rsidRPr="00E41EEC" w:rsidRDefault="00E41EEC" w:rsidP="00E41EEC">
            <w:pPr>
              <w:jc w:val="center"/>
              <w:rPr>
                <w:rFonts w:asciiTheme="minorHAnsi" w:eastAsiaTheme="minorHAnsi" w:hAnsiTheme="minorHAnsi" w:cstheme="minorBidi"/>
                <w:szCs w:val="20"/>
              </w:rPr>
            </w:pPr>
            <w:r w:rsidRPr="00E41EEC">
              <w:rPr>
                <w:rFonts w:asciiTheme="minorHAnsi" w:eastAsiaTheme="minorHAnsi" w:hAnsiTheme="minorHAnsi" w:cstheme="minorBidi"/>
                <w:szCs w:val="20"/>
              </w:rPr>
              <w:t>B3</w:t>
            </w:r>
          </w:p>
        </w:tc>
        <w:tc>
          <w:tcPr>
            <w:tcW w:w="3694" w:type="dxa"/>
            <w:shd w:val="clear" w:color="auto" w:fill="auto"/>
          </w:tcPr>
          <w:p w14:paraId="5D8A743D" w14:textId="77777777" w:rsidR="00E41EEC" w:rsidRPr="00E41EEC" w:rsidRDefault="00E41EEC" w:rsidP="00E41EEC">
            <w:pPr>
              <w:rPr>
                <w:rFonts w:asciiTheme="minorHAnsi" w:eastAsiaTheme="minorHAnsi" w:hAnsiTheme="minorHAnsi" w:cstheme="minorBidi"/>
                <w:szCs w:val="20"/>
              </w:rPr>
            </w:pPr>
            <w:r w:rsidRPr="00E41EEC">
              <w:rPr>
                <w:rFonts w:asciiTheme="minorHAnsi" w:eastAsiaTheme="minorHAnsi" w:hAnsiTheme="minorHAnsi" w:cstheme="minorBidi"/>
                <w:szCs w:val="20"/>
              </w:rPr>
              <w:t xml:space="preserve">Construction of a manhole of 1.00 m x 1.00 m x 1.00 m for the receipt of the brine from the HDPE </w:t>
            </w:r>
            <w:r w:rsidRPr="00E41EEC">
              <w:rPr>
                <w:rFonts w:asciiTheme="minorHAnsi" w:eastAsiaTheme="minorHAnsi" w:hAnsiTheme="minorHAnsi" w:cstheme="minorBidi"/>
                <w:szCs w:val="20"/>
                <w:lang w:val="el-GR"/>
              </w:rPr>
              <w:t>Φ</w:t>
            </w:r>
            <w:r w:rsidRPr="00E41EEC">
              <w:rPr>
                <w:rFonts w:asciiTheme="minorHAnsi" w:eastAsiaTheme="minorHAnsi" w:hAnsiTheme="minorHAnsi" w:cstheme="minorBidi"/>
                <w:szCs w:val="20"/>
              </w:rPr>
              <w:t>125 piping and the allocation of the brine to the new brine disposal wells.</w:t>
            </w:r>
          </w:p>
          <w:p w14:paraId="239A1F74" w14:textId="77777777" w:rsidR="00E41EEC" w:rsidRPr="00E41EEC" w:rsidRDefault="00E41EEC" w:rsidP="00E41EEC">
            <w:pPr>
              <w:numPr>
                <w:ilvl w:val="0"/>
                <w:numId w:val="7"/>
              </w:numPr>
              <w:contextualSpacing/>
              <w:rPr>
                <w:rFonts w:asciiTheme="minorHAnsi" w:eastAsiaTheme="minorHAnsi" w:hAnsiTheme="minorHAnsi" w:cstheme="minorBidi"/>
                <w:szCs w:val="20"/>
              </w:rPr>
            </w:pPr>
            <w:r w:rsidRPr="00E41EEC">
              <w:rPr>
                <w:rFonts w:asciiTheme="minorHAnsi" w:eastAsiaTheme="minorHAnsi" w:hAnsiTheme="minorHAnsi" w:cstheme="minorBidi"/>
                <w:szCs w:val="20"/>
              </w:rPr>
              <w:t>Piping with the same features should be used for the allocation of the brine.</w:t>
            </w:r>
          </w:p>
        </w:tc>
        <w:tc>
          <w:tcPr>
            <w:tcW w:w="1223" w:type="dxa"/>
            <w:shd w:val="clear" w:color="auto" w:fill="auto"/>
            <w:vAlign w:val="center"/>
          </w:tcPr>
          <w:p w14:paraId="6AB57011" w14:textId="77777777" w:rsidR="00E41EEC" w:rsidRPr="00E41EEC" w:rsidRDefault="00E41EEC" w:rsidP="00E41EEC">
            <w:pPr>
              <w:rPr>
                <w:rFonts w:asciiTheme="minorHAnsi" w:eastAsiaTheme="minorHAnsi" w:hAnsiTheme="minorHAnsi" w:cstheme="minorBidi"/>
                <w:szCs w:val="20"/>
              </w:rPr>
            </w:pPr>
            <w:r w:rsidRPr="00E41EEC">
              <w:rPr>
                <w:rFonts w:asciiTheme="minorHAnsi" w:eastAsiaTheme="minorHAnsi" w:hAnsiTheme="minorHAnsi" w:cstheme="minorBidi"/>
                <w:szCs w:val="20"/>
              </w:rPr>
              <w:t>Lump sum</w:t>
            </w:r>
          </w:p>
        </w:tc>
        <w:tc>
          <w:tcPr>
            <w:tcW w:w="1383" w:type="dxa"/>
            <w:vAlign w:val="center"/>
          </w:tcPr>
          <w:p w14:paraId="6E263D05" w14:textId="77777777" w:rsidR="00E41EEC" w:rsidRPr="00E41EEC" w:rsidRDefault="00E41EEC" w:rsidP="00E41EEC">
            <w:pPr>
              <w:rPr>
                <w:rFonts w:asciiTheme="minorHAnsi" w:eastAsiaTheme="minorHAnsi" w:hAnsiTheme="minorHAnsi" w:cstheme="minorBidi"/>
                <w:szCs w:val="20"/>
              </w:rPr>
            </w:pPr>
          </w:p>
        </w:tc>
        <w:tc>
          <w:tcPr>
            <w:tcW w:w="1080" w:type="dxa"/>
            <w:vAlign w:val="center"/>
          </w:tcPr>
          <w:p w14:paraId="6C48B1AC" w14:textId="77777777" w:rsidR="00E41EEC" w:rsidRPr="00E41EEC" w:rsidRDefault="00E41EEC" w:rsidP="00E41EEC">
            <w:pPr>
              <w:rPr>
                <w:rFonts w:asciiTheme="minorHAnsi" w:eastAsiaTheme="minorHAnsi" w:hAnsiTheme="minorHAnsi" w:cstheme="minorBidi"/>
                <w:szCs w:val="20"/>
              </w:rPr>
            </w:pPr>
          </w:p>
        </w:tc>
        <w:tc>
          <w:tcPr>
            <w:tcW w:w="1170" w:type="dxa"/>
            <w:vAlign w:val="center"/>
          </w:tcPr>
          <w:p w14:paraId="2A03FA6E" w14:textId="77777777" w:rsidR="00E41EEC" w:rsidRPr="00E41EEC" w:rsidRDefault="00E41EEC" w:rsidP="00E41EEC">
            <w:pPr>
              <w:rPr>
                <w:rFonts w:asciiTheme="minorHAnsi" w:eastAsiaTheme="minorHAnsi" w:hAnsiTheme="minorHAnsi" w:cstheme="minorBidi"/>
                <w:szCs w:val="20"/>
              </w:rPr>
            </w:pPr>
          </w:p>
        </w:tc>
      </w:tr>
      <w:tr w:rsidR="00E41EEC" w:rsidRPr="00E41EEC" w14:paraId="137B7628" w14:textId="75AB2865" w:rsidTr="00C365B6">
        <w:trPr>
          <w:jc w:val="center"/>
        </w:trPr>
        <w:tc>
          <w:tcPr>
            <w:tcW w:w="9355" w:type="dxa"/>
            <w:gridSpan w:val="6"/>
            <w:shd w:val="clear" w:color="auto" w:fill="auto"/>
          </w:tcPr>
          <w:p w14:paraId="4239B41C" w14:textId="77777777" w:rsidR="00E41EEC" w:rsidRPr="00E41EEC" w:rsidRDefault="00E41EEC" w:rsidP="00E41EEC">
            <w:pPr>
              <w:rPr>
                <w:rFonts w:asciiTheme="minorHAnsi" w:eastAsiaTheme="minorHAnsi" w:hAnsiTheme="minorHAnsi" w:cstheme="minorBidi"/>
                <w:szCs w:val="20"/>
              </w:rPr>
            </w:pPr>
          </w:p>
        </w:tc>
      </w:tr>
      <w:tr w:rsidR="00E41EEC" w:rsidRPr="00E41EEC" w14:paraId="32BED4FF" w14:textId="3ABF751B" w:rsidTr="00CF55E4">
        <w:trPr>
          <w:jc w:val="center"/>
        </w:trPr>
        <w:tc>
          <w:tcPr>
            <w:tcW w:w="9355" w:type="dxa"/>
            <w:gridSpan w:val="6"/>
            <w:shd w:val="clear" w:color="auto" w:fill="auto"/>
          </w:tcPr>
          <w:p w14:paraId="5DFC6BF7" w14:textId="5CF9AD77" w:rsidR="00E41EEC" w:rsidRPr="00E41EEC" w:rsidRDefault="00E41EEC" w:rsidP="00E41EEC">
            <w:pPr>
              <w:rPr>
                <w:rFonts w:asciiTheme="minorHAnsi" w:eastAsiaTheme="minorHAnsi" w:hAnsiTheme="minorHAnsi" w:cstheme="minorBidi"/>
                <w:b/>
                <w:bCs/>
                <w:szCs w:val="20"/>
              </w:rPr>
            </w:pPr>
            <w:r w:rsidRPr="00E41EEC">
              <w:rPr>
                <w:rFonts w:asciiTheme="minorHAnsi" w:eastAsiaTheme="minorHAnsi" w:hAnsiTheme="minorHAnsi" w:cstheme="minorBidi"/>
                <w:b/>
                <w:bCs/>
                <w:szCs w:val="20"/>
              </w:rPr>
              <w:t>C. Replacement of Existing Pump</w:t>
            </w:r>
          </w:p>
        </w:tc>
      </w:tr>
      <w:tr w:rsidR="00E41EEC" w:rsidRPr="00E41EEC" w14:paraId="09A5D8D1" w14:textId="37C6D6CC" w:rsidTr="00E41EEC">
        <w:trPr>
          <w:jc w:val="center"/>
        </w:trPr>
        <w:tc>
          <w:tcPr>
            <w:tcW w:w="805" w:type="dxa"/>
            <w:shd w:val="clear" w:color="auto" w:fill="auto"/>
            <w:vAlign w:val="center"/>
          </w:tcPr>
          <w:p w14:paraId="5DFE0005" w14:textId="77777777" w:rsidR="00E41EEC" w:rsidRPr="00E41EEC" w:rsidRDefault="00E41EEC" w:rsidP="00E41EEC">
            <w:pPr>
              <w:jc w:val="center"/>
              <w:rPr>
                <w:rFonts w:asciiTheme="minorHAnsi" w:eastAsiaTheme="minorHAnsi" w:hAnsiTheme="minorHAnsi" w:cstheme="minorBidi"/>
                <w:szCs w:val="20"/>
              </w:rPr>
            </w:pPr>
            <w:r w:rsidRPr="00E41EEC">
              <w:rPr>
                <w:rFonts w:asciiTheme="minorHAnsi" w:eastAsiaTheme="minorHAnsi" w:hAnsiTheme="minorHAnsi" w:cstheme="minorBidi"/>
                <w:szCs w:val="20"/>
              </w:rPr>
              <w:t>C1</w:t>
            </w:r>
          </w:p>
        </w:tc>
        <w:tc>
          <w:tcPr>
            <w:tcW w:w="3694" w:type="dxa"/>
            <w:shd w:val="clear" w:color="auto" w:fill="auto"/>
          </w:tcPr>
          <w:p w14:paraId="7453B84C" w14:textId="77777777" w:rsidR="00E41EEC" w:rsidRPr="00E41EEC" w:rsidRDefault="00E41EEC" w:rsidP="00E41EEC">
            <w:pPr>
              <w:rPr>
                <w:rFonts w:asciiTheme="minorHAnsi" w:eastAsiaTheme="minorHAnsi" w:hAnsiTheme="minorHAnsi" w:cstheme="minorBidi"/>
                <w:szCs w:val="20"/>
              </w:rPr>
            </w:pPr>
            <w:bookmarkStart w:id="1" w:name="_Hlk99530585"/>
            <w:r w:rsidRPr="00E41EEC">
              <w:rPr>
                <w:rFonts w:asciiTheme="minorHAnsi" w:eastAsiaTheme="minorHAnsi" w:hAnsiTheme="minorHAnsi" w:cstheme="minorBidi"/>
                <w:szCs w:val="20"/>
              </w:rPr>
              <w:t xml:space="preserve">Supply of a vertical, three-phase pump of equivalent features as the existing 66SV04G220T/D Lowara pump. </w:t>
            </w:r>
          </w:p>
          <w:p w14:paraId="4AD23ECF" w14:textId="77777777" w:rsidR="00E41EEC" w:rsidRPr="00E41EEC" w:rsidRDefault="00E41EEC" w:rsidP="00E41EEC">
            <w:pPr>
              <w:numPr>
                <w:ilvl w:val="0"/>
                <w:numId w:val="4"/>
              </w:numPr>
              <w:contextualSpacing/>
              <w:rPr>
                <w:rFonts w:asciiTheme="minorHAnsi" w:eastAsiaTheme="minorHAnsi" w:hAnsiTheme="minorHAnsi" w:cstheme="minorBidi"/>
                <w:szCs w:val="20"/>
              </w:rPr>
            </w:pPr>
            <w:r w:rsidRPr="00E41EEC">
              <w:rPr>
                <w:rFonts w:asciiTheme="minorHAnsi" w:eastAsiaTheme="minorHAnsi" w:hAnsiTheme="minorHAnsi" w:cstheme="minorBidi"/>
                <w:szCs w:val="20"/>
              </w:rPr>
              <w:t>The new pump will be used as a spare to the existing one which forwards the permeate to the tank of Chora.</w:t>
            </w:r>
            <w:bookmarkEnd w:id="1"/>
          </w:p>
          <w:p w14:paraId="7EC06722" w14:textId="77777777" w:rsidR="00E41EEC" w:rsidRPr="00E41EEC" w:rsidRDefault="00E41EEC" w:rsidP="00E41EEC">
            <w:pPr>
              <w:numPr>
                <w:ilvl w:val="0"/>
                <w:numId w:val="4"/>
              </w:numPr>
              <w:contextualSpacing/>
              <w:rPr>
                <w:rFonts w:asciiTheme="minorHAnsi" w:eastAsiaTheme="minorHAnsi" w:hAnsiTheme="minorHAnsi" w:cstheme="minorBidi"/>
                <w:szCs w:val="20"/>
              </w:rPr>
            </w:pPr>
            <w:r w:rsidRPr="00E41EEC">
              <w:rPr>
                <w:rFonts w:asciiTheme="minorHAnsi" w:eastAsiaTheme="minorHAnsi" w:hAnsiTheme="minorHAnsi" w:cstheme="minorBidi"/>
                <w:szCs w:val="20"/>
              </w:rPr>
              <w:t>Origin: USA, Europe</w:t>
            </w:r>
          </w:p>
        </w:tc>
        <w:tc>
          <w:tcPr>
            <w:tcW w:w="1223" w:type="dxa"/>
            <w:shd w:val="clear" w:color="auto" w:fill="auto"/>
            <w:vAlign w:val="center"/>
          </w:tcPr>
          <w:p w14:paraId="36417EAF" w14:textId="77777777" w:rsidR="00E41EEC" w:rsidRPr="00E41EEC" w:rsidRDefault="00E41EEC" w:rsidP="00E41EEC">
            <w:pPr>
              <w:jc w:val="center"/>
              <w:rPr>
                <w:rFonts w:asciiTheme="minorHAnsi" w:eastAsiaTheme="minorHAnsi" w:hAnsiTheme="minorHAnsi" w:cstheme="minorBidi"/>
                <w:szCs w:val="20"/>
              </w:rPr>
            </w:pPr>
            <w:r w:rsidRPr="00E41EEC">
              <w:rPr>
                <w:rFonts w:asciiTheme="minorHAnsi" w:eastAsiaTheme="minorHAnsi" w:hAnsiTheme="minorHAnsi" w:cstheme="minorBidi"/>
                <w:szCs w:val="20"/>
              </w:rPr>
              <w:t>1</w:t>
            </w:r>
          </w:p>
        </w:tc>
        <w:tc>
          <w:tcPr>
            <w:tcW w:w="1383" w:type="dxa"/>
          </w:tcPr>
          <w:p w14:paraId="14CA5E43" w14:textId="77777777" w:rsidR="00E41EEC" w:rsidRPr="00E41EEC" w:rsidRDefault="00E41EEC" w:rsidP="00E41EEC">
            <w:pPr>
              <w:jc w:val="center"/>
              <w:rPr>
                <w:rFonts w:asciiTheme="minorHAnsi" w:eastAsiaTheme="minorHAnsi" w:hAnsiTheme="minorHAnsi" w:cstheme="minorBidi"/>
                <w:szCs w:val="20"/>
              </w:rPr>
            </w:pPr>
          </w:p>
        </w:tc>
        <w:tc>
          <w:tcPr>
            <w:tcW w:w="1080" w:type="dxa"/>
          </w:tcPr>
          <w:p w14:paraId="6C03A624" w14:textId="77777777" w:rsidR="00E41EEC" w:rsidRPr="00E41EEC" w:rsidRDefault="00E41EEC" w:rsidP="00E41EEC">
            <w:pPr>
              <w:jc w:val="center"/>
              <w:rPr>
                <w:rFonts w:asciiTheme="minorHAnsi" w:eastAsiaTheme="minorHAnsi" w:hAnsiTheme="minorHAnsi" w:cstheme="minorBidi"/>
                <w:szCs w:val="20"/>
              </w:rPr>
            </w:pPr>
          </w:p>
        </w:tc>
        <w:tc>
          <w:tcPr>
            <w:tcW w:w="1170" w:type="dxa"/>
          </w:tcPr>
          <w:p w14:paraId="622B1172" w14:textId="77777777" w:rsidR="00E41EEC" w:rsidRPr="00E41EEC" w:rsidRDefault="00E41EEC" w:rsidP="00E41EEC">
            <w:pPr>
              <w:jc w:val="center"/>
              <w:rPr>
                <w:rFonts w:asciiTheme="minorHAnsi" w:eastAsiaTheme="minorHAnsi" w:hAnsiTheme="minorHAnsi" w:cstheme="minorBidi"/>
                <w:szCs w:val="20"/>
              </w:rPr>
            </w:pPr>
          </w:p>
        </w:tc>
      </w:tr>
      <w:tr w:rsidR="00511E1F" w:rsidRPr="00E41EEC" w14:paraId="307233FA" w14:textId="29492B3E" w:rsidTr="00211159">
        <w:trPr>
          <w:jc w:val="center"/>
        </w:trPr>
        <w:tc>
          <w:tcPr>
            <w:tcW w:w="9355" w:type="dxa"/>
            <w:gridSpan w:val="6"/>
            <w:shd w:val="clear" w:color="auto" w:fill="auto"/>
          </w:tcPr>
          <w:p w14:paraId="770CA16B" w14:textId="77777777" w:rsidR="00511E1F" w:rsidRPr="00E41EEC" w:rsidRDefault="00511E1F" w:rsidP="00E41EEC">
            <w:pPr>
              <w:jc w:val="center"/>
              <w:rPr>
                <w:rFonts w:asciiTheme="minorHAnsi" w:eastAsiaTheme="minorHAnsi" w:hAnsiTheme="minorHAnsi" w:cstheme="minorBidi"/>
                <w:szCs w:val="20"/>
              </w:rPr>
            </w:pPr>
          </w:p>
        </w:tc>
      </w:tr>
      <w:tr w:rsidR="00511E1F" w:rsidRPr="00E41EEC" w14:paraId="586DB949" w14:textId="3A99730B" w:rsidTr="0084379D">
        <w:trPr>
          <w:jc w:val="center"/>
        </w:trPr>
        <w:tc>
          <w:tcPr>
            <w:tcW w:w="9355" w:type="dxa"/>
            <w:gridSpan w:val="6"/>
            <w:shd w:val="clear" w:color="auto" w:fill="auto"/>
          </w:tcPr>
          <w:p w14:paraId="2BDF3980" w14:textId="4E19836F" w:rsidR="00511E1F" w:rsidRPr="00E41EEC" w:rsidRDefault="00511E1F" w:rsidP="00E41EEC">
            <w:pPr>
              <w:rPr>
                <w:rFonts w:asciiTheme="minorHAnsi" w:eastAsiaTheme="minorHAnsi" w:hAnsiTheme="minorHAnsi" w:cstheme="minorBidi"/>
                <w:b/>
                <w:bCs/>
                <w:szCs w:val="20"/>
              </w:rPr>
            </w:pPr>
            <w:r w:rsidRPr="00E41EEC">
              <w:rPr>
                <w:rFonts w:asciiTheme="minorHAnsi" w:eastAsiaTheme="minorHAnsi" w:hAnsiTheme="minorHAnsi" w:cstheme="minorBidi"/>
                <w:b/>
                <w:bCs/>
                <w:szCs w:val="20"/>
              </w:rPr>
              <w:lastRenderedPageBreak/>
              <w:t>D. Drawings</w:t>
            </w:r>
          </w:p>
        </w:tc>
      </w:tr>
      <w:tr w:rsidR="00E41EEC" w:rsidRPr="00E41EEC" w14:paraId="17BCC1B5" w14:textId="2DADA86F" w:rsidTr="00E41EEC">
        <w:trPr>
          <w:jc w:val="center"/>
        </w:trPr>
        <w:tc>
          <w:tcPr>
            <w:tcW w:w="805" w:type="dxa"/>
            <w:shd w:val="clear" w:color="auto" w:fill="auto"/>
            <w:vAlign w:val="center"/>
          </w:tcPr>
          <w:p w14:paraId="0469FCE4" w14:textId="77777777" w:rsidR="00E41EEC" w:rsidRPr="00E41EEC" w:rsidRDefault="00E41EEC" w:rsidP="00E41EEC">
            <w:pPr>
              <w:jc w:val="center"/>
              <w:rPr>
                <w:rFonts w:asciiTheme="minorHAnsi" w:eastAsiaTheme="minorHAnsi" w:hAnsiTheme="minorHAnsi" w:cstheme="minorBidi"/>
                <w:szCs w:val="20"/>
              </w:rPr>
            </w:pPr>
            <w:r w:rsidRPr="00E41EEC">
              <w:rPr>
                <w:rFonts w:asciiTheme="minorHAnsi" w:eastAsiaTheme="minorHAnsi" w:hAnsiTheme="minorHAnsi" w:cstheme="minorBidi"/>
                <w:szCs w:val="20"/>
              </w:rPr>
              <w:t>D1</w:t>
            </w:r>
          </w:p>
        </w:tc>
        <w:tc>
          <w:tcPr>
            <w:tcW w:w="3694" w:type="dxa"/>
            <w:shd w:val="clear" w:color="auto" w:fill="auto"/>
          </w:tcPr>
          <w:p w14:paraId="7117625C" w14:textId="77777777" w:rsidR="00E41EEC" w:rsidRPr="00E41EEC" w:rsidRDefault="00E41EEC" w:rsidP="00E41EEC">
            <w:pPr>
              <w:rPr>
                <w:rFonts w:asciiTheme="minorHAnsi" w:eastAsiaTheme="minorHAnsi" w:hAnsiTheme="minorHAnsi" w:cstheme="minorBidi"/>
                <w:szCs w:val="20"/>
              </w:rPr>
            </w:pPr>
            <w:r w:rsidRPr="00E41EEC">
              <w:rPr>
                <w:rFonts w:asciiTheme="minorHAnsi" w:eastAsiaTheme="minorHAnsi" w:hAnsiTheme="minorHAnsi" w:cstheme="minorBidi"/>
                <w:szCs w:val="20"/>
              </w:rPr>
              <w:t>Final drawing of the hydraulic and electric connection</w:t>
            </w:r>
          </w:p>
        </w:tc>
        <w:tc>
          <w:tcPr>
            <w:tcW w:w="1223" w:type="dxa"/>
            <w:shd w:val="clear" w:color="auto" w:fill="auto"/>
            <w:vAlign w:val="center"/>
          </w:tcPr>
          <w:p w14:paraId="292551B8" w14:textId="77777777" w:rsidR="00E41EEC" w:rsidRPr="00E41EEC" w:rsidRDefault="00E41EEC" w:rsidP="00E41EEC">
            <w:pPr>
              <w:jc w:val="center"/>
              <w:rPr>
                <w:rFonts w:asciiTheme="minorHAnsi" w:eastAsiaTheme="minorHAnsi" w:hAnsiTheme="minorHAnsi" w:cstheme="minorBidi"/>
                <w:szCs w:val="20"/>
              </w:rPr>
            </w:pPr>
            <w:r w:rsidRPr="00E41EEC">
              <w:rPr>
                <w:rFonts w:asciiTheme="minorHAnsi" w:eastAsiaTheme="minorHAnsi" w:hAnsiTheme="minorHAnsi" w:cstheme="minorBidi"/>
                <w:szCs w:val="20"/>
              </w:rPr>
              <w:t>1</w:t>
            </w:r>
          </w:p>
        </w:tc>
        <w:tc>
          <w:tcPr>
            <w:tcW w:w="1383" w:type="dxa"/>
          </w:tcPr>
          <w:p w14:paraId="35AA0859" w14:textId="77777777" w:rsidR="00E41EEC" w:rsidRPr="00E41EEC" w:rsidRDefault="00E41EEC" w:rsidP="00E41EEC">
            <w:pPr>
              <w:jc w:val="center"/>
              <w:rPr>
                <w:rFonts w:asciiTheme="minorHAnsi" w:eastAsiaTheme="minorHAnsi" w:hAnsiTheme="minorHAnsi" w:cstheme="minorBidi"/>
                <w:szCs w:val="20"/>
              </w:rPr>
            </w:pPr>
          </w:p>
        </w:tc>
        <w:tc>
          <w:tcPr>
            <w:tcW w:w="1080" w:type="dxa"/>
          </w:tcPr>
          <w:p w14:paraId="776DCF11" w14:textId="77777777" w:rsidR="00E41EEC" w:rsidRPr="00E41EEC" w:rsidRDefault="00E41EEC" w:rsidP="00E41EEC">
            <w:pPr>
              <w:jc w:val="center"/>
              <w:rPr>
                <w:rFonts w:asciiTheme="minorHAnsi" w:eastAsiaTheme="minorHAnsi" w:hAnsiTheme="minorHAnsi" w:cstheme="minorBidi"/>
                <w:szCs w:val="20"/>
              </w:rPr>
            </w:pPr>
          </w:p>
        </w:tc>
        <w:tc>
          <w:tcPr>
            <w:tcW w:w="1170" w:type="dxa"/>
          </w:tcPr>
          <w:p w14:paraId="7A23885B" w14:textId="77777777" w:rsidR="00E41EEC" w:rsidRPr="00E41EEC" w:rsidRDefault="00E41EEC" w:rsidP="00E41EEC">
            <w:pPr>
              <w:jc w:val="center"/>
              <w:rPr>
                <w:rFonts w:asciiTheme="minorHAnsi" w:eastAsiaTheme="minorHAnsi" w:hAnsiTheme="minorHAnsi" w:cstheme="minorBidi"/>
                <w:szCs w:val="20"/>
              </w:rPr>
            </w:pPr>
          </w:p>
        </w:tc>
      </w:tr>
      <w:tr w:rsidR="00511E1F" w:rsidRPr="00E41EEC" w14:paraId="11002449" w14:textId="77777777" w:rsidTr="00CF7D81">
        <w:trPr>
          <w:jc w:val="center"/>
        </w:trPr>
        <w:tc>
          <w:tcPr>
            <w:tcW w:w="9355" w:type="dxa"/>
            <w:gridSpan w:val="6"/>
            <w:shd w:val="clear" w:color="auto" w:fill="auto"/>
            <w:vAlign w:val="center"/>
          </w:tcPr>
          <w:p w14:paraId="157051D5" w14:textId="77777777" w:rsidR="00511E1F" w:rsidRPr="00E41EEC" w:rsidRDefault="00511E1F" w:rsidP="00E41EEC">
            <w:pPr>
              <w:jc w:val="center"/>
              <w:rPr>
                <w:rFonts w:asciiTheme="minorHAnsi" w:eastAsiaTheme="minorHAnsi" w:hAnsiTheme="minorHAnsi" w:cstheme="minorBidi"/>
                <w:szCs w:val="20"/>
              </w:rPr>
            </w:pPr>
          </w:p>
        </w:tc>
      </w:tr>
      <w:tr w:rsidR="00511E1F" w:rsidRPr="00E41EEC" w14:paraId="33D24918" w14:textId="77777777" w:rsidTr="002A0EB3">
        <w:trPr>
          <w:jc w:val="center"/>
        </w:trPr>
        <w:tc>
          <w:tcPr>
            <w:tcW w:w="7105" w:type="dxa"/>
            <w:gridSpan w:val="4"/>
            <w:shd w:val="clear" w:color="auto" w:fill="auto"/>
            <w:vAlign w:val="center"/>
          </w:tcPr>
          <w:p w14:paraId="2BBAA392" w14:textId="2994787B" w:rsidR="00511E1F" w:rsidRPr="00511E1F" w:rsidRDefault="00511E1F" w:rsidP="00511E1F">
            <w:pPr>
              <w:jc w:val="right"/>
              <w:rPr>
                <w:rFonts w:asciiTheme="minorHAnsi" w:eastAsiaTheme="minorHAnsi" w:hAnsiTheme="minorHAnsi" w:cstheme="minorBidi"/>
                <w:b/>
                <w:bCs/>
                <w:szCs w:val="20"/>
              </w:rPr>
            </w:pPr>
            <w:r w:rsidRPr="00511E1F">
              <w:rPr>
                <w:rFonts w:asciiTheme="minorHAnsi" w:eastAsiaTheme="minorHAnsi" w:hAnsiTheme="minorHAnsi" w:cstheme="minorBidi"/>
                <w:b/>
                <w:bCs/>
                <w:szCs w:val="20"/>
              </w:rPr>
              <w:t>GRAND TOTAL</w:t>
            </w:r>
            <w:r>
              <w:rPr>
                <w:rFonts w:asciiTheme="minorHAnsi" w:eastAsiaTheme="minorHAnsi" w:hAnsiTheme="minorHAnsi" w:cstheme="minorBidi"/>
                <w:b/>
                <w:bCs/>
                <w:szCs w:val="20"/>
              </w:rPr>
              <w:t xml:space="preserve"> (</w:t>
            </w:r>
            <w:r>
              <w:rPr>
                <w:rFonts w:asciiTheme="minorHAnsi" w:eastAsiaTheme="minorHAnsi" w:hAnsiTheme="minorHAnsi" w:cstheme="minorHAnsi"/>
                <w:b/>
                <w:bCs/>
                <w:szCs w:val="20"/>
              </w:rPr>
              <w:t>€</w:t>
            </w:r>
            <w:r>
              <w:rPr>
                <w:rFonts w:asciiTheme="minorHAnsi" w:eastAsiaTheme="minorHAnsi" w:hAnsiTheme="minorHAnsi" w:cstheme="minorBidi"/>
                <w:b/>
                <w:bCs/>
                <w:szCs w:val="20"/>
              </w:rPr>
              <w:t>)</w:t>
            </w:r>
          </w:p>
        </w:tc>
        <w:tc>
          <w:tcPr>
            <w:tcW w:w="2250" w:type="dxa"/>
            <w:gridSpan w:val="2"/>
          </w:tcPr>
          <w:p w14:paraId="59E4A672" w14:textId="77777777" w:rsidR="00511E1F" w:rsidRPr="00E41EEC" w:rsidRDefault="00511E1F" w:rsidP="00E41EEC">
            <w:pPr>
              <w:jc w:val="center"/>
              <w:rPr>
                <w:rFonts w:asciiTheme="minorHAnsi" w:eastAsiaTheme="minorHAnsi" w:hAnsiTheme="minorHAnsi" w:cstheme="minorBidi"/>
                <w:szCs w:val="20"/>
              </w:rPr>
            </w:pPr>
          </w:p>
        </w:tc>
      </w:tr>
    </w:tbl>
    <w:p w14:paraId="6477B48F" w14:textId="5F56AF02" w:rsidR="006C6CE5" w:rsidRDefault="006C6CE5" w:rsidP="00160B71">
      <w:pPr>
        <w:jc w:val="both"/>
        <w:rPr>
          <w:rFonts w:ascii="Calibri" w:hAnsi="Calibri" w:cs="Calibri"/>
        </w:rPr>
      </w:pPr>
    </w:p>
    <w:p w14:paraId="530F28A3" w14:textId="77777777" w:rsidR="00160B71" w:rsidRPr="00AE402C" w:rsidRDefault="00160B71" w:rsidP="00160B71">
      <w:pPr>
        <w:jc w:val="both"/>
        <w:rPr>
          <w:rFonts w:ascii="Calibri" w:hAnsi="Calibri" w:cs="Calibri"/>
        </w:rPr>
      </w:pPr>
    </w:p>
    <w:p w14:paraId="0796DF51" w14:textId="367F55A6" w:rsidR="00160B71" w:rsidRDefault="00160B71" w:rsidP="00160B71">
      <w:pPr>
        <w:jc w:val="both"/>
        <w:rPr>
          <w:rFonts w:ascii="Calibri" w:hAnsi="Calibri" w:cs="Calibri"/>
        </w:rPr>
      </w:pPr>
      <w:r w:rsidRPr="00AE402C">
        <w:rPr>
          <w:rFonts w:ascii="Calibri" w:hAnsi="Calibri" w:cs="Calibri"/>
        </w:rPr>
        <w:t xml:space="preserve">The </w:t>
      </w:r>
      <w:r w:rsidR="0068783C">
        <w:rPr>
          <w:rFonts w:ascii="Calibri" w:hAnsi="Calibri" w:cs="Calibri"/>
        </w:rPr>
        <w:t xml:space="preserve">Participant </w:t>
      </w:r>
      <w:r w:rsidR="0068783C" w:rsidRPr="00AE402C">
        <w:rPr>
          <w:rFonts w:ascii="Calibri" w:hAnsi="Calibri" w:cs="Calibri"/>
        </w:rPr>
        <w:t>I</w:t>
      </w:r>
      <w:r w:rsidRPr="00AE402C">
        <w:rPr>
          <w:rFonts w:ascii="Calibri" w:hAnsi="Calibri" w:cs="Calibri"/>
        </w:rPr>
        <w:t xml:space="preserve"> am representing (“We”) has examined, and accept</w:t>
      </w:r>
      <w:r w:rsidR="00606038">
        <w:rPr>
          <w:rFonts w:ascii="Calibri" w:hAnsi="Calibri" w:cs="Calibri"/>
        </w:rPr>
        <w:t>s</w:t>
      </w:r>
      <w:r w:rsidRPr="00AE402C">
        <w:rPr>
          <w:rFonts w:ascii="Calibri" w:hAnsi="Calibri" w:cs="Calibri"/>
        </w:rPr>
        <w:t xml:space="preserve"> in full and in its entirety, the content of this quotation document (including subsequent Clarification Notes issued by the Contracting Authority). We hereby accept the contents thereto in their entirety, without reservation or restriction. We also understand that any disagreement, contradiction, alteration, deviation or omission shall lead to our offer not being considered any further. We offer to provide, in accordance with the terms of the tender document and the conditions and time limits laid down, without reservation or restriction, the requirements of </w:t>
      </w:r>
      <w:r w:rsidRPr="00D74D84">
        <w:rPr>
          <w:rFonts w:ascii="Calibri" w:hAnsi="Calibri" w:cs="Calibri"/>
        </w:rPr>
        <w:t>this</w:t>
      </w:r>
      <w:r w:rsidR="00DD1804" w:rsidRPr="00D74D84">
        <w:rPr>
          <w:rFonts w:ascii="Calibri" w:hAnsi="Calibri" w:cs="Calibri"/>
        </w:rPr>
        <w:t xml:space="preserve"> </w:t>
      </w:r>
      <w:r w:rsidRPr="00D74D84">
        <w:rPr>
          <w:rFonts w:ascii="Calibri" w:hAnsi="Calibri" w:cs="Calibri"/>
        </w:rPr>
        <w:t>Request for Quotations (RfQ).</w:t>
      </w:r>
    </w:p>
    <w:p w14:paraId="7DAA6FA9" w14:textId="77777777" w:rsidR="00117BFB" w:rsidRDefault="00117BFB" w:rsidP="00160B71">
      <w:pPr>
        <w:jc w:val="both"/>
        <w:rPr>
          <w:rFonts w:ascii="Calibri" w:hAnsi="Calibri" w:cs="Calibri"/>
        </w:rPr>
      </w:pPr>
    </w:p>
    <w:p w14:paraId="4201E1B2" w14:textId="5369CEEE" w:rsidR="00160B71" w:rsidRPr="00C41E10" w:rsidRDefault="00160B71" w:rsidP="00160B71">
      <w:pPr>
        <w:jc w:val="both"/>
        <w:rPr>
          <w:rFonts w:ascii="Calibri" w:hAnsi="Calibri" w:cs="Calibri"/>
        </w:rPr>
      </w:pPr>
    </w:p>
    <w:p w14:paraId="1D34543C" w14:textId="77777777" w:rsidR="0068783C" w:rsidRPr="00AE402C" w:rsidRDefault="0068783C" w:rsidP="00160B71">
      <w:pPr>
        <w:jc w:val="both"/>
        <w:rPr>
          <w:rFonts w:ascii="Calibri" w:hAnsi="Calibri" w:cs="Calibri"/>
        </w:rPr>
      </w:pPr>
    </w:p>
    <w:p w14:paraId="5D3C3723" w14:textId="77777777" w:rsidR="00160B71" w:rsidRPr="00AE402C" w:rsidRDefault="00160B71" w:rsidP="00160B71">
      <w:pPr>
        <w:jc w:val="both"/>
        <w:rPr>
          <w:rFonts w:ascii="Calibri" w:hAnsi="Calibri" w:cs="Calibri"/>
        </w:rPr>
      </w:pPr>
    </w:p>
    <w:p w14:paraId="6A1C32DF" w14:textId="77777777" w:rsidR="00160B71" w:rsidRPr="00AE402C" w:rsidRDefault="00160B71" w:rsidP="00160B71">
      <w:pPr>
        <w:jc w:val="both"/>
        <w:rPr>
          <w:rFonts w:ascii="Calibri" w:hAnsi="Calibri" w:cs="Calibri"/>
        </w:rPr>
      </w:pPr>
    </w:p>
    <w:p w14:paraId="56D88A33" w14:textId="77777777" w:rsidR="00160B71" w:rsidRPr="00AE402C" w:rsidRDefault="00160B71" w:rsidP="00160B71">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_____________________________</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_____________________________</w:t>
      </w:r>
    </w:p>
    <w:p w14:paraId="4C3AA3AA" w14:textId="77777777" w:rsidR="00160B71" w:rsidRPr="00AE402C" w:rsidRDefault="00160B71" w:rsidP="00160B71">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Signature</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Date</w:t>
      </w:r>
    </w:p>
    <w:p w14:paraId="7EE840A6" w14:textId="77777777" w:rsidR="004C4015" w:rsidRPr="00AE402C" w:rsidRDefault="004C4015">
      <w:pPr>
        <w:rPr>
          <w:rFonts w:ascii="Calibri" w:hAnsi="Calibri" w:cs="Calibri"/>
        </w:rPr>
      </w:pPr>
    </w:p>
    <w:sectPr w:rsidR="004C4015" w:rsidRPr="00AE402C" w:rsidSect="00390170">
      <w:headerReference w:type="even" r:id="rId11"/>
      <w:headerReference w:type="default" r:id="rId12"/>
      <w:footerReference w:type="even" r:id="rId13"/>
      <w:footerReference w:type="default" r:id="rId14"/>
      <w:headerReference w:type="first" r:id="rId15"/>
      <w:footerReference w:type="first" r:id="rId16"/>
      <w:pgSz w:w="11900" w:h="16840"/>
      <w:pgMar w:top="990"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2C58C" w14:textId="77777777" w:rsidR="00027E32" w:rsidRDefault="00027E32" w:rsidP="00160B71">
      <w:r>
        <w:separator/>
      </w:r>
    </w:p>
  </w:endnote>
  <w:endnote w:type="continuationSeparator" w:id="0">
    <w:p w14:paraId="74CE2313" w14:textId="77777777" w:rsidR="00027E32" w:rsidRDefault="00027E32" w:rsidP="0016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Nunito">
    <w:charset w:val="00"/>
    <w:family w:val="auto"/>
    <w:pitch w:val="variable"/>
    <w:sig w:usb0="A00002FF" w:usb1="5000204B" w:usb2="00000000" w:usb3="00000000" w:csb0="00000197" w:csb1="00000000"/>
  </w:font>
  <w:font w:name="Nunito ExtraBold">
    <w:charset w:val="00"/>
    <w:family w:val="auto"/>
    <w:pitch w:val="variable"/>
    <w:sig w:usb0="A00002FF" w:usb1="5000204B" w:usb2="00000000" w:usb3="00000000" w:csb0="00000197" w:csb1="00000000"/>
  </w:font>
  <w:font w:name="Nunito Light">
    <w:charset w:val="00"/>
    <w:family w:val="auto"/>
    <w:pitch w:val="variable"/>
    <w:sig w:usb0="A00002FF" w:usb1="5000204B" w:usb2="00000000" w:usb3="00000000" w:csb0="00000197" w:csb1="00000000"/>
  </w:font>
  <w:font w:name="Nunito SemiBold">
    <w:charset w:val="00"/>
    <w:family w:val="auto"/>
    <w:pitch w:val="variable"/>
    <w:sig w:usb0="A00002FF" w:usb1="5000204B" w:usb2="00000000" w:usb3="00000000" w:csb0="00000197" w:csb1="00000000"/>
  </w:font>
  <w:font w:name="Times-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18DB" w14:textId="77777777" w:rsidR="00160B71" w:rsidRDefault="00160B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149251"/>
      <w:docPartObj>
        <w:docPartGallery w:val="Page Numbers (Bottom of Page)"/>
        <w:docPartUnique/>
      </w:docPartObj>
    </w:sdtPr>
    <w:sdtEndPr>
      <w:rPr>
        <w:noProof/>
      </w:rPr>
    </w:sdtEndPr>
    <w:sdtContent>
      <w:p w14:paraId="00A58222" w14:textId="77777777" w:rsidR="00E3476B" w:rsidRDefault="00160B71">
        <w:pPr>
          <w:pStyle w:val="a5"/>
          <w:jc w:val="right"/>
        </w:pPr>
        <w:r>
          <w:fldChar w:fldCharType="begin"/>
        </w:r>
        <w:r>
          <w:instrText xml:space="preserve"> PAGE   \* MERGEFORMAT </w:instrText>
        </w:r>
        <w:r>
          <w:fldChar w:fldCharType="separate"/>
        </w:r>
        <w:r>
          <w:rPr>
            <w:noProof/>
          </w:rPr>
          <w:t>6</w:t>
        </w:r>
        <w:r>
          <w:rPr>
            <w:noProof/>
          </w:rPr>
          <w:fldChar w:fldCharType="end"/>
        </w:r>
      </w:p>
    </w:sdtContent>
  </w:sdt>
  <w:p w14:paraId="687E0FDE" w14:textId="77777777" w:rsidR="00842C18" w:rsidRPr="00E02ED3" w:rsidRDefault="00027E32" w:rsidP="00E02ED3">
    <w:pPr>
      <w:pStyle w:val="a5"/>
      <w:tabs>
        <w:tab w:val="clear" w:pos="4680"/>
        <w:tab w:val="clear" w:pos="9360"/>
        <w:tab w:val="left" w:pos="1440"/>
      </w:tabs>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F082" w14:textId="77777777" w:rsidR="00160B71" w:rsidRDefault="00160B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5FBBC" w14:textId="77777777" w:rsidR="00027E32" w:rsidRDefault="00027E32" w:rsidP="00160B71">
      <w:r>
        <w:separator/>
      </w:r>
    </w:p>
  </w:footnote>
  <w:footnote w:type="continuationSeparator" w:id="0">
    <w:p w14:paraId="44B1E9B3" w14:textId="77777777" w:rsidR="00027E32" w:rsidRDefault="00027E32" w:rsidP="00160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81C1" w14:textId="77777777" w:rsidR="00160B71" w:rsidRDefault="00160B7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B04E" w14:textId="77777777" w:rsidR="00160B71" w:rsidRDefault="00160B7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617F" w14:textId="77777777" w:rsidR="00842C18" w:rsidRDefault="00027E32" w:rsidP="009107E3">
    <w:pPr>
      <w:pStyle w:val="a4"/>
    </w:pPr>
  </w:p>
  <w:p w14:paraId="4E89FEC2" w14:textId="77777777" w:rsidR="00842C18" w:rsidRDefault="00027E3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E0930"/>
    <w:multiLevelType w:val="hybridMultilevel"/>
    <w:tmpl w:val="512678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7B1C99"/>
    <w:multiLevelType w:val="hybridMultilevel"/>
    <w:tmpl w:val="88BAEAC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F40218"/>
    <w:multiLevelType w:val="hybridMultilevel"/>
    <w:tmpl w:val="1AA8195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0109C2"/>
    <w:multiLevelType w:val="hybridMultilevel"/>
    <w:tmpl w:val="A4AE509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E9130E"/>
    <w:multiLevelType w:val="hybridMultilevel"/>
    <w:tmpl w:val="632E4BD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5422820"/>
    <w:multiLevelType w:val="hybridMultilevel"/>
    <w:tmpl w:val="1F8CA8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FA1FE0"/>
    <w:multiLevelType w:val="hybridMultilevel"/>
    <w:tmpl w:val="F33835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DB42782"/>
    <w:multiLevelType w:val="hybridMultilevel"/>
    <w:tmpl w:val="A8CE57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69447620">
    <w:abstractNumId w:val="6"/>
  </w:num>
  <w:num w:numId="2" w16cid:durableId="383793086">
    <w:abstractNumId w:val="5"/>
  </w:num>
  <w:num w:numId="3" w16cid:durableId="732697852">
    <w:abstractNumId w:val="3"/>
  </w:num>
  <w:num w:numId="4" w16cid:durableId="1179586931">
    <w:abstractNumId w:val="4"/>
  </w:num>
  <w:num w:numId="5" w16cid:durableId="275066300">
    <w:abstractNumId w:val="1"/>
  </w:num>
  <w:num w:numId="6" w16cid:durableId="797911914">
    <w:abstractNumId w:val="7"/>
  </w:num>
  <w:num w:numId="7" w16cid:durableId="732393948">
    <w:abstractNumId w:val="2"/>
  </w:num>
  <w:num w:numId="8" w16cid:durableId="1441219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71"/>
    <w:rsid w:val="0000011D"/>
    <w:rsid w:val="000140B0"/>
    <w:rsid w:val="00027E32"/>
    <w:rsid w:val="00070AB4"/>
    <w:rsid w:val="00096D38"/>
    <w:rsid w:val="000A130F"/>
    <w:rsid w:val="000E7BC6"/>
    <w:rsid w:val="00117BFB"/>
    <w:rsid w:val="00126C73"/>
    <w:rsid w:val="00160B71"/>
    <w:rsid w:val="00232B31"/>
    <w:rsid w:val="00237321"/>
    <w:rsid w:val="00242B88"/>
    <w:rsid w:val="003521D6"/>
    <w:rsid w:val="00374059"/>
    <w:rsid w:val="00390170"/>
    <w:rsid w:val="00397AFA"/>
    <w:rsid w:val="003F507D"/>
    <w:rsid w:val="00430FC0"/>
    <w:rsid w:val="00475D59"/>
    <w:rsid w:val="00477D49"/>
    <w:rsid w:val="00481C0A"/>
    <w:rsid w:val="00487C1C"/>
    <w:rsid w:val="004C4015"/>
    <w:rsid w:val="004C4E68"/>
    <w:rsid w:val="00511E1F"/>
    <w:rsid w:val="005278F8"/>
    <w:rsid w:val="005537F7"/>
    <w:rsid w:val="00606038"/>
    <w:rsid w:val="0064160A"/>
    <w:rsid w:val="0068783C"/>
    <w:rsid w:val="006C6CE5"/>
    <w:rsid w:val="006E2D37"/>
    <w:rsid w:val="007041FD"/>
    <w:rsid w:val="007B0454"/>
    <w:rsid w:val="007F55CF"/>
    <w:rsid w:val="00841FC4"/>
    <w:rsid w:val="008533F5"/>
    <w:rsid w:val="00883A60"/>
    <w:rsid w:val="0089729E"/>
    <w:rsid w:val="00897654"/>
    <w:rsid w:val="008C364E"/>
    <w:rsid w:val="00931C72"/>
    <w:rsid w:val="009874D1"/>
    <w:rsid w:val="009E295B"/>
    <w:rsid w:val="009F3300"/>
    <w:rsid w:val="00A55D8A"/>
    <w:rsid w:val="00AC69E5"/>
    <w:rsid w:val="00AE402C"/>
    <w:rsid w:val="00B7360D"/>
    <w:rsid w:val="00B85D50"/>
    <w:rsid w:val="00B90551"/>
    <w:rsid w:val="00C022D0"/>
    <w:rsid w:val="00C41E10"/>
    <w:rsid w:val="00C77035"/>
    <w:rsid w:val="00D16CBD"/>
    <w:rsid w:val="00D66D8B"/>
    <w:rsid w:val="00D74D84"/>
    <w:rsid w:val="00D763FD"/>
    <w:rsid w:val="00D9638A"/>
    <w:rsid w:val="00DA3366"/>
    <w:rsid w:val="00DC2864"/>
    <w:rsid w:val="00DD1804"/>
    <w:rsid w:val="00E41E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472CB"/>
  <w15:chartTrackingRefBased/>
  <w15:docId w15:val="{3D68A4C5-5F13-4E68-84E8-59A56FD2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B71"/>
    <w:pPr>
      <w:spacing w:after="0" w:line="240" w:lineRule="auto"/>
    </w:pPr>
    <w:rPr>
      <w:rFonts w:ascii="Verdana" w:eastAsia="MS Mincho" w:hAnsi="Verdana" w:cs="Times New Roman"/>
      <w:sz w:val="20"/>
      <w:szCs w:val="24"/>
      <w:lang w:val="en-US"/>
    </w:rPr>
  </w:style>
  <w:style w:type="paragraph" w:styleId="1">
    <w:name w:val="heading 1"/>
    <w:basedOn w:val="a"/>
    <w:next w:val="a"/>
    <w:link w:val="1Char"/>
    <w:uiPriority w:val="9"/>
    <w:qFormat/>
    <w:rsid w:val="008C364E"/>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link w:val="ChapterChar"/>
    <w:autoRedefine/>
    <w:qFormat/>
    <w:rsid w:val="008C364E"/>
    <w:pPr>
      <w:widowControl w:val="0"/>
      <w:spacing w:before="82"/>
      <w:outlineLvl w:val="0"/>
    </w:pPr>
    <w:rPr>
      <w:rFonts w:ascii="Nunito" w:eastAsia="Nunito" w:hAnsi="Nunito" w:cs="Nunito"/>
      <w:color w:val="000000" w:themeColor="text1"/>
      <w:spacing w:val="22"/>
      <w:sz w:val="48"/>
      <w:szCs w:val="48"/>
      <w:lang w:val="el-GR"/>
    </w:rPr>
  </w:style>
  <w:style w:type="character" w:customStyle="1" w:styleId="ChapterChar">
    <w:name w:val="Chapter Char"/>
    <w:basedOn w:val="a0"/>
    <w:link w:val="Chapter"/>
    <w:rsid w:val="008C364E"/>
    <w:rPr>
      <w:rFonts w:ascii="Nunito" w:eastAsia="Nunito" w:hAnsi="Nunito" w:cs="Nunito"/>
      <w:color w:val="000000" w:themeColor="text1"/>
      <w:spacing w:val="22"/>
      <w:sz w:val="48"/>
      <w:szCs w:val="48"/>
    </w:rPr>
  </w:style>
  <w:style w:type="paragraph" w:customStyle="1" w:styleId="ChapterTitle">
    <w:name w:val="Chapter Title"/>
    <w:basedOn w:val="a"/>
    <w:link w:val="ChapterTitleChar"/>
    <w:autoRedefine/>
    <w:qFormat/>
    <w:rsid w:val="008C364E"/>
    <w:pPr>
      <w:widowControl w:val="0"/>
      <w:spacing w:before="82"/>
      <w:outlineLvl w:val="0"/>
    </w:pPr>
    <w:rPr>
      <w:rFonts w:ascii="Nunito ExtraBold" w:eastAsia="Nunito" w:hAnsi="Nunito ExtraBold" w:cs="Nunito"/>
      <w:color w:val="7030A0"/>
      <w:spacing w:val="22"/>
      <w:sz w:val="40"/>
      <w:szCs w:val="40"/>
      <w:lang w:val="en-GB"/>
    </w:rPr>
  </w:style>
  <w:style w:type="character" w:customStyle="1" w:styleId="ChapterTitleChar">
    <w:name w:val="Chapter Title Char"/>
    <w:basedOn w:val="a0"/>
    <w:link w:val="ChapterTitle"/>
    <w:rsid w:val="008C364E"/>
    <w:rPr>
      <w:rFonts w:ascii="Nunito ExtraBold" w:eastAsia="Nunito" w:hAnsi="Nunito ExtraBold" w:cs="Nunito"/>
      <w:color w:val="7030A0"/>
      <w:spacing w:val="22"/>
      <w:sz w:val="40"/>
      <w:szCs w:val="40"/>
      <w:lang w:val="en-GB"/>
    </w:rPr>
  </w:style>
  <w:style w:type="paragraph" w:customStyle="1" w:styleId="Chaptersubheading">
    <w:name w:val="Chapter subheading"/>
    <w:basedOn w:val="a"/>
    <w:link w:val="ChaptersubheadingChar"/>
    <w:autoRedefine/>
    <w:qFormat/>
    <w:rsid w:val="008C364E"/>
    <w:pPr>
      <w:widowControl w:val="0"/>
      <w:spacing w:after="1240"/>
      <w:ind w:right="794"/>
      <w:jc w:val="both"/>
    </w:pPr>
    <w:rPr>
      <w:rFonts w:ascii="Nunito Light" w:eastAsia="Times New Roman" w:hAnsi="Nunito Light" w:cstheme="minorHAnsi"/>
      <w:i/>
      <w:iCs/>
      <w:color w:val="7030A0"/>
      <w:sz w:val="32"/>
      <w:szCs w:val="32"/>
      <w:lang w:val="en-GB"/>
    </w:rPr>
  </w:style>
  <w:style w:type="character" w:customStyle="1" w:styleId="ChaptersubheadingChar">
    <w:name w:val="Chapter subheading Char"/>
    <w:basedOn w:val="a0"/>
    <w:link w:val="Chaptersubheading"/>
    <w:rsid w:val="008C364E"/>
    <w:rPr>
      <w:rFonts w:ascii="Nunito Light" w:eastAsia="Times New Roman" w:hAnsi="Nunito Light" w:cstheme="minorHAnsi"/>
      <w:i/>
      <w:iCs/>
      <w:color w:val="7030A0"/>
      <w:sz w:val="32"/>
      <w:szCs w:val="32"/>
      <w:lang w:val="en-GB"/>
    </w:rPr>
  </w:style>
  <w:style w:type="paragraph" w:customStyle="1" w:styleId="GWPHeading">
    <w:name w:val="GWP Heading"/>
    <w:basedOn w:val="1"/>
    <w:link w:val="GWPHeadingChar"/>
    <w:autoRedefine/>
    <w:qFormat/>
    <w:rsid w:val="008C364E"/>
    <w:pPr>
      <w:keepNext w:val="0"/>
      <w:keepLines w:val="0"/>
      <w:widowControl w:val="0"/>
      <w:spacing w:before="82" w:after="600" w:line="240" w:lineRule="auto"/>
    </w:pPr>
    <w:rPr>
      <w:rFonts w:ascii="Nunito SemiBold" w:eastAsia="Nunito" w:hAnsi="Nunito SemiBold" w:cs="Nunito"/>
      <w:b/>
      <w:bCs/>
      <w:color w:val="009EDF"/>
      <w:sz w:val="40"/>
      <w:szCs w:val="40"/>
      <w:lang w:val="el-GR"/>
    </w:rPr>
  </w:style>
  <w:style w:type="character" w:customStyle="1" w:styleId="GWPHeadingChar">
    <w:name w:val="GWP Heading Char"/>
    <w:basedOn w:val="1Char"/>
    <w:link w:val="GWPHeading"/>
    <w:rsid w:val="008C364E"/>
    <w:rPr>
      <w:rFonts w:ascii="Nunito SemiBold" w:eastAsia="Nunito" w:hAnsi="Nunito SemiBold" w:cs="Nunito"/>
      <w:b/>
      <w:bCs/>
      <w:color w:val="009EDF"/>
      <w:sz w:val="40"/>
      <w:szCs w:val="40"/>
      <w:lang w:val="en-GB"/>
    </w:rPr>
  </w:style>
  <w:style w:type="character" w:customStyle="1" w:styleId="1Char">
    <w:name w:val="Επικεφαλίδα 1 Char"/>
    <w:basedOn w:val="a0"/>
    <w:link w:val="1"/>
    <w:uiPriority w:val="9"/>
    <w:rsid w:val="008C364E"/>
    <w:rPr>
      <w:rFonts w:asciiTheme="majorHAnsi" w:eastAsiaTheme="majorEastAsia" w:hAnsiTheme="majorHAnsi" w:cstheme="majorBidi"/>
      <w:color w:val="2F5496" w:themeColor="accent1" w:themeShade="BF"/>
      <w:sz w:val="32"/>
      <w:szCs w:val="32"/>
      <w:lang w:val="en-GB"/>
    </w:rPr>
  </w:style>
  <w:style w:type="paragraph" w:customStyle="1" w:styleId="GWPDefaultpara">
    <w:name w:val="GWP Default para"/>
    <w:basedOn w:val="a3"/>
    <w:link w:val="GWPDefaultparaChar"/>
    <w:autoRedefine/>
    <w:qFormat/>
    <w:rsid w:val="008C364E"/>
    <w:pPr>
      <w:widowControl w:val="0"/>
      <w:spacing w:before="100" w:after="0" w:line="300" w:lineRule="exact"/>
    </w:pPr>
    <w:rPr>
      <w:rFonts w:ascii="Nunito Light" w:eastAsia="Nunito Light" w:hAnsi="Nunito Light" w:cs="Nunito Light"/>
      <w:color w:val="151313"/>
      <w:sz w:val="24"/>
      <w:szCs w:val="24"/>
      <w:lang w:val="el-GR"/>
    </w:rPr>
  </w:style>
  <w:style w:type="character" w:customStyle="1" w:styleId="GWPDefaultparaChar">
    <w:name w:val="GWP Default para Char"/>
    <w:basedOn w:val="Char"/>
    <w:link w:val="GWPDefaultpara"/>
    <w:rsid w:val="008C364E"/>
    <w:rPr>
      <w:rFonts w:ascii="Nunito Light" w:eastAsia="Nunito Light" w:hAnsi="Nunito Light" w:cs="Nunito Light"/>
      <w:color w:val="151313"/>
      <w:sz w:val="24"/>
      <w:szCs w:val="24"/>
      <w:lang w:val="en-GB"/>
    </w:rPr>
  </w:style>
  <w:style w:type="paragraph" w:styleId="a3">
    <w:name w:val="Body Text"/>
    <w:basedOn w:val="a"/>
    <w:link w:val="Char"/>
    <w:uiPriority w:val="99"/>
    <w:semiHidden/>
    <w:unhideWhenUsed/>
    <w:rsid w:val="008C364E"/>
    <w:pPr>
      <w:spacing w:after="120" w:line="259" w:lineRule="auto"/>
    </w:pPr>
    <w:rPr>
      <w:rFonts w:asciiTheme="minorHAnsi" w:eastAsiaTheme="minorHAnsi" w:hAnsiTheme="minorHAnsi" w:cstheme="minorBidi"/>
      <w:sz w:val="22"/>
      <w:szCs w:val="22"/>
      <w:lang w:val="en-GB"/>
    </w:rPr>
  </w:style>
  <w:style w:type="character" w:customStyle="1" w:styleId="Char">
    <w:name w:val="Σώμα κειμένου Char"/>
    <w:basedOn w:val="a0"/>
    <w:link w:val="a3"/>
    <w:uiPriority w:val="99"/>
    <w:semiHidden/>
    <w:rsid w:val="008C364E"/>
    <w:rPr>
      <w:lang w:val="en-GB"/>
    </w:rPr>
  </w:style>
  <w:style w:type="paragraph" w:styleId="a4">
    <w:name w:val="header"/>
    <w:basedOn w:val="a"/>
    <w:link w:val="Char0"/>
    <w:uiPriority w:val="99"/>
    <w:unhideWhenUsed/>
    <w:rsid w:val="00160B71"/>
    <w:pPr>
      <w:tabs>
        <w:tab w:val="center" w:pos="4680"/>
        <w:tab w:val="right" w:pos="9360"/>
      </w:tabs>
    </w:pPr>
  </w:style>
  <w:style w:type="character" w:customStyle="1" w:styleId="Char0">
    <w:name w:val="Κεφαλίδα Char"/>
    <w:basedOn w:val="a0"/>
    <w:link w:val="a4"/>
    <w:uiPriority w:val="99"/>
    <w:rsid w:val="00160B71"/>
    <w:rPr>
      <w:rFonts w:ascii="Verdana" w:eastAsia="MS Mincho" w:hAnsi="Verdana" w:cs="Times New Roman"/>
      <w:sz w:val="20"/>
      <w:szCs w:val="24"/>
      <w:lang w:val="en-US"/>
    </w:rPr>
  </w:style>
  <w:style w:type="paragraph" w:styleId="a5">
    <w:name w:val="footer"/>
    <w:basedOn w:val="a"/>
    <w:link w:val="Char1"/>
    <w:uiPriority w:val="99"/>
    <w:unhideWhenUsed/>
    <w:rsid w:val="00160B71"/>
    <w:pPr>
      <w:tabs>
        <w:tab w:val="center" w:pos="4680"/>
        <w:tab w:val="right" w:pos="9360"/>
      </w:tabs>
    </w:pPr>
  </w:style>
  <w:style w:type="character" w:customStyle="1" w:styleId="Char1">
    <w:name w:val="Υποσέλιδο Char"/>
    <w:basedOn w:val="a0"/>
    <w:link w:val="a5"/>
    <w:uiPriority w:val="99"/>
    <w:rsid w:val="00160B71"/>
    <w:rPr>
      <w:rFonts w:ascii="Verdana" w:eastAsia="MS Mincho" w:hAnsi="Verdana" w:cs="Times New Roman"/>
      <w:sz w:val="20"/>
      <w:szCs w:val="24"/>
      <w:lang w:val="en-US"/>
    </w:rPr>
  </w:style>
  <w:style w:type="paragraph" w:customStyle="1" w:styleId="BasicParagraph">
    <w:name w:val="[Basic Paragraph]"/>
    <w:basedOn w:val="a"/>
    <w:uiPriority w:val="99"/>
    <w:rsid w:val="00160B71"/>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a6">
    <w:name w:val="annotation reference"/>
    <w:basedOn w:val="a0"/>
    <w:uiPriority w:val="99"/>
    <w:semiHidden/>
    <w:unhideWhenUsed/>
    <w:rsid w:val="00487C1C"/>
    <w:rPr>
      <w:sz w:val="16"/>
      <w:szCs w:val="16"/>
    </w:rPr>
  </w:style>
  <w:style w:type="paragraph" w:styleId="a7">
    <w:name w:val="annotation text"/>
    <w:basedOn w:val="a"/>
    <w:link w:val="Char2"/>
    <w:uiPriority w:val="99"/>
    <w:unhideWhenUsed/>
    <w:rsid w:val="00487C1C"/>
    <w:rPr>
      <w:szCs w:val="20"/>
    </w:rPr>
  </w:style>
  <w:style w:type="character" w:customStyle="1" w:styleId="Char2">
    <w:name w:val="Κείμενο σχολίου Char"/>
    <w:basedOn w:val="a0"/>
    <w:link w:val="a7"/>
    <w:uiPriority w:val="99"/>
    <w:rsid w:val="00487C1C"/>
    <w:rPr>
      <w:rFonts w:ascii="Verdana" w:eastAsia="MS Mincho" w:hAnsi="Verdana" w:cs="Times New Roman"/>
      <w:sz w:val="20"/>
      <w:szCs w:val="20"/>
      <w:lang w:val="en-US"/>
    </w:rPr>
  </w:style>
  <w:style w:type="paragraph" w:styleId="a8">
    <w:name w:val="annotation subject"/>
    <w:basedOn w:val="a7"/>
    <w:next w:val="a7"/>
    <w:link w:val="Char3"/>
    <w:uiPriority w:val="99"/>
    <w:semiHidden/>
    <w:unhideWhenUsed/>
    <w:rsid w:val="00487C1C"/>
    <w:rPr>
      <w:b/>
      <w:bCs/>
    </w:rPr>
  </w:style>
  <w:style w:type="character" w:customStyle="1" w:styleId="Char3">
    <w:name w:val="Θέμα σχολίου Char"/>
    <w:basedOn w:val="Char2"/>
    <w:link w:val="a8"/>
    <w:uiPriority w:val="99"/>
    <w:semiHidden/>
    <w:rsid w:val="00487C1C"/>
    <w:rPr>
      <w:rFonts w:ascii="Verdana" w:eastAsia="MS Mincho" w:hAnsi="Verdana" w:cs="Times New Roman"/>
      <w:b/>
      <w:bCs/>
      <w:sz w:val="20"/>
      <w:szCs w:val="20"/>
      <w:lang w:val="en-US"/>
    </w:rPr>
  </w:style>
  <w:style w:type="paragraph" w:styleId="a9">
    <w:name w:val="Revision"/>
    <w:hidden/>
    <w:uiPriority w:val="99"/>
    <w:semiHidden/>
    <w:rsid w:val="00883A60"/>
    <w:pPr>
      <w:spacing w:after="0" w:line="240" w:lineRule="auto"/>
    </w:pPr>
    <w:rPr>
      <w:rFonts w:ascii="Verdana" w:eastAsia="MS Mincho" w:hAnsi="Verdana" w:cs="Times New Roman"/>
      <w:sz w:val="20"/>
      <w:szCs w:val="24"/>
      <w:lang w:val="en-US"/>
    </w:rPr>
  </w:style>
  <w:style w:type="character" w:customStyle="1" w:styleId="normaltextrun">
    <w:name w:val="normaltextrun"/>
    <w:basedOn w:val="a0"/>
    <w:rsid w:val="00AE402C"/>
  </w:style>
  <w:style w:type="character" w:customStyle="1" w:styleId="eop">
    <w:name w:val="eop"/>
    <w:basedOn w:val="a0"/>
    <w:rsid w:val="00AE402C"/>
  </w:style>
  <w:style w:type="table" w:styleId="aa">
    <w:name w:val="Table Grid"/>
    <w:basedOn w:val="a1"/>
    <w:uiPriority w:val="39"/>
    <w:rsid w:val="0089729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85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C07BBC3D57F724583E30D489F035131" ma:contentTypeVersion="4" ma:contentTypeDescription="Create a new document." ma:contentTypeScope="" ma:versionID="64e7c62ff559b55ece9375e4f2f8bd2a">
  <xsd:schema xmlns:xsd="http://www.w3.org/2001/XMLSchema" xmlns:xs="http://www.w3.org/2001/XMLSchema" xmlns:p="http://schemas.microsoft.com/office/2006/metadata/properties" xmlns:ns2="b66a0c96-d089-4933-a30f-91725513e950" targetNamespace="http://schemas.microsoft.com/office/2006/metadata/properties" ma:root="true" ma:fieldsID="e3db42cb8978fe5536655d53bd8540ee" ns2:_="">
    <xsd:import namespace="b66a0c96-d089-4933-a30f-91725513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a0c96-d089-4933-a30f-91725513e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172777-B3A8-4B78-BB22-BF28086115BC}">
  <ds:schemaRefs>
    <ds:schemaRef ds:uri="http://schemas.openxmlformats.org/officeDocument/2006/bibliography"/>
  </ds:schemaRefs>
</ds:datastoreItem>
</file>

<file path=customXml/itemProps2.xml><?xml version="1.0" encoding="utf-8"?>
<ds:datastoreItem xmlns:ds="http://schemas.openxmlformats.org/officeDocument/2006/customXml" ds:itemID="{4032F728-5AF9-463C-B6EE-D805F6738B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D5620D-AE4B-4E18-9764-0B43E3C8C009}">
  <ds:schemaRefs>
    <ds:schemaRef ds:uri="http://schemas.microsoft.com/sharepoint/v3/contenttype/forms"/>
  </ds:schemaRefs>
</ds:datastoreItem>
</file>

<file path=customXml/itemProps4.xml><?xml version="1.0" encoding="utf-8"?>
<ds:datastoreItem xmlns:ds="http://schemas.openxmlformats.org/officeDocument/2006/customXml" ds:itemID="{1A2696C5-B701-477F-AAB0-DA37F2596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a0c96-d089-4933-a30f-91725513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612</Words>
  <Characters>3491</Characters>
  <Application>Microsoft Office Word</Application>
  <DocSecurity>0</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Kandarakis (GWP-Med)</dc:creator>
  <cp:keywords/>
  <dc:description/>
  <cp:lastModifiedBy>Nikos Michopoulos (GWP-Med)</cp:lastModifiedBy>
  <cp:revision>12</cp:revision>
  <dcterms:created xsi:type="dcterms:W3CDTF">2022-01-20T16:27:00Z</dcterms:created>
  <dcterms:modified xsi:type="dcterms:W3CDTF">2022-05-17T10:54:00Z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0x0101004C07BBC3D57F724583E30D489F035131</vt:lpwstr>
  </property>
</Properties>
</file>