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C2" w:rsidRPr="006A388D" w:rsidRDefault="000B4BC2" w:rsidP="000B4BC2">
      <w:pPr>
        <w:spacing w:after="160" w:line="259" w:lineRule="auto"/>
        <w:jc w:val="both"/>
        <w:rPr>
          <w:b/>
          <w:i/>
          <w:color w:val="4472C4"/>
          <w:sz w:val="22"/>
          <w:highlight w:val="yellow"/>
          <w:u w:val="single"/>
          <w:lang w:val="fr-FR"/>
        </w:rPr>
      </w:pPr>
      <w:r w:rsidRPr="006A388D">
        <w:rPr>
          <w:b/>
          <w:i/>
          <w:color w:val="4472C4"/>
          <w:sz w:val="22"/>
          <w:highlight w:val="yellow"/>
          <w:u w:val="single"/>
          <w:lang w:val="fr-FR"/>
        </w:rPr>
        <w:t>Synthèse</w:t>
      </w:r>
      <w:r>
        <w:rPr>
          <w:b/>
          <w:i/>
          <w:color w:val="4472C4"/>
          <w:sz w:val="22"/>
          <w:highlight w:val="yellow"/>
          <w:u w:val="single"/>
          <w:lang w:val="fr-FR"/>
        </w:rPr>
        <w:t xml:space="preserve"> : </w:t>
      </w:r>
      <w:r w:rsidRPr="006A388D">
        <w:rPr>
          <w:b/>
          <w:i/>
          <w:color w:val="4472C4"/>
          <w:sz w:val="22"/>
          <w:highlight w:val="yellow"/>
          <w:u w:val="single"/>
          <w:lang w:val="fr-FR"/>
        </w:rPr>
        <w:t>Comment adapter votre travail pour continuer à apporter des changements afin de parvenir à la sécurité de l'eau en ce temps de covid-19.</w:t>
      </w:r>
    </w:p>
    <w:p w:rsidR="000B4BC2" w:rsidRPr="00F2348A" w:rsidRDefault="000B4BC2" w:rsidP="000B4BC2">
      <w:pPr>
        <w:spacing w:after="160" w:line="259" w:lineRule="auto"/>
        <w:jc w:val="both"/>
        <w:rPr>
          <w:b/>
          <w:sz w:val="22"/>
          <w:highlight w:val="yellow"/>
          <w:lang w:val="fr-FR"/>
        </w:rPr>
      </w:pPr>
      <w:r w:rsidRPr="00F2348A">
        <w:rPr>
          <w:b/>
          <w:sz w:val="22"/>
          <w:highlight w:val="yellow"/>
          <w:lang w:val="fr-FR"/>
        </w:rPr>
        <w:t>Stratégies déjà en œuvre dans la sous-région</w:t>
      </w:r>
    </w:p>
    <w:p w:rsidR="000B4BC2" w:rsidRPr="00F2348A" w:rsidRDefault="000B4BC2" w:rsidP="000B4BC2">
      <w:pPr>
        <w:numPr>
          <w:ilvl w:val="0"/>
          <w:numId w:val="1"/>
        </w:numPr>
        <w:spacing w:after="160" w:line="259" w:lineRule="auto"/>
        <w:jc w:val="both"/>
        <w:rPr>
          <w:sz w:val="22"/>
          <w:highlight w:val="yellow"/>
          <w:u w:val="single"/>
          <w:lang w:val="fr-FR"/>
        </w:rPr>
      </w:pPr>
      <w:r w:rsidRPr="00F2348A">
        <w:rPr>
          <w:sz w:val="22"/>
          <w:highlight w:val="yellow"/>
          <w:u w:val="single"/>
          <w:lang w:val="fr-FR"/>
        </w:rPr>
        <w:t xml:space="preserve">Distribution des kits ou dispositifs anti </w:t>
      </w:r>
      <w:r w:rsidRPr="00F2348A">
        <w:rPr>
          <w:sz w:val="22"/>
          <w:highlight w:val="yellow"/>
          <w:u w:val="single"/>
          <w:lang w:val="fr-FR"/>
        </w:rPr>
        <w:t>COVID</w:t>
      </w:r>
      <w:r>
        <w:rPr>
          <w:sz w:val="22"/>
          <w:highlight w:val="yellow"/>
          <w:u w:val="single"/>
          <w:lang w:val="fr-FR"/>
        </w:rPr>
        <w:t>-19</w:t>
      </w:r>
      <w:r w:rsidRPr="00F2348A">
        <w:rPr>
          <w:sz w:val="22"/>
          <w:highlight w:val="yellow"/>
          <w:u w:val="single"/>
          <w:lang w:val="fr-FR"/>
        </w:rPr>
        <w:t xml:space="preserve"> (</w:t>
      </w:r>
      <w:r w:rsidRPr="00F2348A">
        <w:rPr>
          <w:sz w:val="22"/>
          <w:highlight w:val="yellow"/>
          <w:u w:val="single"/>
          <w:lang w:val="fr-FR"/>
        </w:rPr>
        <w:t>solutions hydro alcoolique, kits de lavage des mains, paquets de savons)</w:t>
      </w:r>
    </w:p>
    <w:p w:rsidR="000B4BC2" w:rsidRPr="00F2348A" w:rsidRDefault="000B4BC2" w:rsidP="000B4BC2">
      <w:pPr>
        <w:numPr>
          <w:ilvl w:val="0"/>
          <w:numId w:val="1"/>
        </w:numPr>
        <w:spacing w:after="160" w:line="259" w:lineRule="auto"/>
        <w:jc w:val="both"/>
        <w:rPr>
          <w:sz w:val="22"/>
          <w:highlight w:val="yellow"/>
          <w:lang w:val="fr-FR"/>
        </w:rPr>
      </w:pPr>
      <w:r w:rsidRPr="00F2348A">
        <w:rPr>
          <w:sz w:val="22"/>
          <w:highlight w:val="yellow"/>
          <w:u w:val="single"/>
          <w:lang w:val="fr-FR"/>
        </w:rPr>
        <w:t>Fournitures d'eau à la population à travers les baladeurs</w:t>
      </w:r>
      <w:r w:rsidRPr="00F2348A">
        <w:rPr>
          <w:sz w:val="22"/>
          <w:highlight w:val="yellow"/>
          <w:lang w:val="fr-FR"/>
        </w:rPr>
        <w:t> ;</w:t>
      </w:r>
    </w:p>
    <w:p w:rsidR="000B4BC2" w:rsidRPr="00F2348A" w:rsidRDefault="000B4BC2" w:rsidP="000B4BC2">
      <w:pPr>
        <w:numPr>
          <w:ilvl w:val="0"/>
          <w:numId w:val="1"/>
        </w:numPr>
        <w:spacing w:after="160" w:line="259" w:lineRule="auto"/>
        <w:jc w:val="both"/>
        <w:rPr>
          <w:sz w:val="22"/>
          <w:highlight w:val="yellow"/>
          <w:lang w:val="fr-FR"/>
        </w:rPr>
      </w:pPr>
      <w:r w:rsidRPr="00F2348A">
        <w:rPr>
          <w:sz w:val="22"/>
          <w:highlight w:val="yellow"/>
          <w:u w:val="single"/>
          <w:lang w:val="fr-FR"/>
        </w:rPr>
        <w:t>Construction et réhabilitation des points d'eau</w:t>
      </w:r>
      <w:r w:rsidRPr="00F2348A">
        <w:rPr>
          <w:sz w:val="22"/>
          <w:highlight w:val="yellow"/>
          <w:lang w:val="fr-FR"/>
        </w:rPr>
        <w:t> ;</w:t>
      </w:r>
    </w:p>
    <w:p w:rsidR="000B4BC2" w:rsidRPr="00F2348A" w:rsidRDefault="000B4BC2" w:rsidP="000B4BC2">
      <w:pPr>
        <w:numPr>
          <w:ilvl w:val="0"/>
          <w:numId w:val="1"/>
        </w:numPr>
        <w:spacing w:after="160" w:line="259" w:lineRule="auto"/>
        <w:jc w:val="both"/>
        <w:rPr>
          <w:sz w:val="22"/>
          <w:highlight w:val="yellow"/>
          <w:u w:val="single"/>
          <w:lang w:val="fr-FR"/>
        </w:rPr>
      </w:pPr>
      <w:r w:rsidRPr="00F2348A">
        <w:rPr>
          <w:sz w:val="22"/>
          <w:highlight w:val="yellow"/>
          <w:u w:val="single"/>
          <w:lang w:val="fr-FR"/>
        </w:rPr>
        <w:t>Sensibilisation (</w:t>
      </w:r>
      <w:proofErr w:type="spellStart"/>
      <w:r w:rsidRPr="00F2348A">
        <w:rPr>
          <w:sz w:val="22"/>
          <w:highlight w:val="yellow"/>
          <w:u w:val="single"/>
          <w:lang w:val="fr-FR"/>
        </w:rPr>
        <w:t>a</w:t>
      </w:r>
      <w:proofErr w:type="spellEnd"/>
      <w:r w:rsidRPr="00F2348A">
        <w:rPr>
          <w:sz w:val="22"/>
          <w:highlight w:val="yellow"/>
          <w:u w:val="single"/>
          <w:lang w:val="fr-FR"/>
        </w:rPr>
        <w:t xml:space="preserve"> travers des </w:t>
      </w:r>
      <w:r w:rsidRPr="00F2348A">
        <w:rPr>
          <w:sz w:val="22"/>
          <w:highlight w:val="yellow"/>
          <w:u w:val="single"/>
          <w:lang w:val="fr-FR"/>
        </w:rPr>
        <w:t>campagnes</w:t>
      </w:r>
      <w:r w:rsidRPr="00F2348A">
        <w:rPr>
          <w:sz w:val="22"/>
          <w:highlight w:val="yellow"/>
          <w:u w:val="single"/>
          <w:lang w:val="fr-FR"/>
        </w:rPr>
        <w:t xml:space="preserve"> de sensibilisation) des masses sur l’</w:t>
      </w:r>
      <w:proofErr w:type="spellStart"/>
      <w:r w:rsidRPr="00F2348A">
        <w:rPr>
          <w:sz w:val="22"/>
          <w:highlight w:val="yellow"/>
          <w:u w:val="single"/>
          <w:lang w:val="fr-FR"/>
        </w:rPr>
        <w:t>accés</w:t>
      </w:r>
      <w:proofErr w:type="spellEnd"/>
      <w:r w:rsidRPr="00F2348A">
        <w:rPr>
          <w:sz w:val="22"/>
          <w:highlight w:val="yellow"/>
          <w:u w:val="single"/>
          <w:lang w:val="fr-FR"/>
        </w:rPr>
        <w:t xml:space="preserve"> a l’eau, l’</w:t>
      </w:r>
      <w:r w:rsidRPr="00F2348A">
        <w:rPr>
          <w:sz w:val="22"/>
          <w:highlight w:val="yellow"/>
          <w:u w:val="single"/>
          <w:lang w:val="fr-FR"/>
        </w:rPr>
        <w:t>assainissement</w:t>
      </w:r>
      <w:r w:rsidRPr="00F2348A">
        <w:rPr>
          <w:sz w:val="22"/>
          <w:highlight w:val="yellow"/>
          <w:u w:val="single"/>
          <w:lang w:val="fr-FR"/>
        </w:rPr>
        <w:t xml:space="preserve"> et l’</w:t>
      </w:r>
      <w:r w:rsidRPr="00F2348A">
        <w:rPr>
          <w:sz w:val="22"/>
          <w:highlight w:val="yellow"/>
          <w:u w:val="single"/>
          <w:lang w:val="fr-FR"/>
        </w:rPr>
        <w:t>hygiène</w:t>
      </w:r>
      <w:r w:rsidRPr="00F2348A">
        <w:rPr>
          <w:sz w:val="22"/>
          <w:highlight w:val="yellow"/>
          <w:u w:val="single"/>
          <w:lang w:val="fr-FR"/>
        </w:rPr>
        <w:t xml:space="preserve"> via les canaux (media) traditionnels et les médias sociaux</w:t>
      </w:r>
    </w:p>
    <w:p w:rsidR="000B4BC2" w:rsidRPr="00F2348A" w:rsidRDefault="000B4BC2" w:rsidP="000B4BC2">
      <w:pPr>
        <w:numPr>
          <w:ilvl w:val="0"/>
          <w:numId w:val="1"/>
        </w:numPr>
        <w:spacing w:after="160" w:line="259" w:lineRule="auto"/>
        <w:jc w:val="both"/>
        <w:rPr>
          <w:sz w:val="22"/>
          <w:highlight w:val="yellow"/>
          <w:u w:val="single"/>
          <w:lang w:val="fr-FR"/>
        </w:rPr>
      </w:pPr>
      <w:r w:rsidRPr="00F2348A">
        <w:rPr>
          <w:sz w:val="22"/>
          <w:highlight w:val="yellow"/>
          <w:u w:val="single"/>
          <w:lang w:val="fr-FR"/>
        </w:rPr>
        <w:t>Organisation des campagnes de dépistage volontaire.</w:t>
      </w:r>
    </w:p>
    <w:p w:rsidR="000B4BC2" w:rsidRPr="00F2348A" w:rsidRDefault="000B4BC2" w:rsidP="000B4BC2">
      <w:pPr>
        <w:numPr>
          <w:ilvl w:val="0"/>
          <w:numId w:val="1"/>
        </w:numPr>
        <w:spacing w:after="160" w:line="259" w:lineRule="auto"/>
        <w:jc w:val="both"/>
        <w:rPr>
          <w:sz w:val="22"/>
          <w:highlight w:val="yellow"/>
          <w:u w:val="single"/>
          <w:lang w:val="fr-FR"/>
        </w:rPr>
      </w:pPr>
      <w:r w:rsidRPr="00F2348A">
        <w:rPr>
          <w:sz w:val="22"/>
          <w:highlight w:val="yellow"/>
          <w:u w:val="single"/>
          <w:lang w:val="fr-FR"/>
        </w:rPr>
        <w:t>Mise en place des unités de prise en charge</w:t>
      </w:r>
    </w:p>
    <w:p w:rsidR="000B4BC2" w:rsidRPr="000705F6" w:rsidRDefault="000B4BC2" w:rsidP="000B4BC2">
      <w:pPr>
        <w:spacing w:after="160" w:line="259" w:lineRule="auto"/>
        <w:jc w:val="both"/>
        <w:rPr>
          <w:b/>
          <w:sz w:val="22"/>
          <w:highlight w:val="yellow"/>
          <w:lang w:val="fr-FR"/>
        </w:rPr>
      </w:pPr>
      <w:r w:rsidRPr="000705F6">
        <w:rPr>
          <w:b/>
          <w:sz w:val="22"/>
          <w:highlight w:val="yellow"/>
          <w:lang w:val="fr-FR"/>
        </w:rPr>
        <w:t>Quelles stratégies additionnelles proposées</w:t>
      </w:r>
    </w:p>
    <w:p w:rsidR="000B4BC2" w:rsidRPr="000705F6" w:rsidRDefault="000B4BC2" w:rsidP="000B4BC2">
      <w:pPr>
        <w:numPr>
          <w:ilvl w:val="0"/>
          <w:numId w:val="2"/>
        </w:numPr>
        <w:spacing w:after="160" w:line="259" w:lineRule="auto"/>
        <w:jc w:val="both"/>
        <w:rPr>
          <w:sz w:val="22"/>
          <w:highlight w:val="yellow"/>
          <w:lang w:val="fr-FR"/>
        </w:rPr>
      </w:pPr>
      <w:r w:rsidRPr="000705F6">
        <w:rPr>
          <w:sz w:val="22"/>
          <w:highlight w:val="yellow"/>
          <w:u w:val="single"/>
          <w:lang w:val="fr-FR"/>
        </w:rPr>
        <w:t>Renforcer la disponibilité de l’eau</w:t>
      </w:r>
      <w:r w:rsidRPr="000705F6">
        <w:rPr>
          <w:sz w:val="22"/>
          <w:highlight w:val="yellow"/>
          <w:lang w:val="fr-FR"/>
        </w:rPr>
        <w:t> : installer un système de monitoring de la disponibilité de l’eau fonctionnel (nouvelles installations, réhabilitation des équipements existant), évoluer vers l’allocation des ressources pour les besoins prioritaires, développer des approches de protection des réservoirs d’eau (nappes aquifères, les bassins versants). Assurer la disponibilité en eau dans les milieux publics (services publics, marchés, écoles, lycées et collèges)</w:t>
      </w:r>
    </w:p>
    <w:p w:rsidR="000B4BC2" w:rsidRPr="000705F6" w:rsidRDefault="000B4BC2" w:rsidP="000B4BC2">
      <w:pPr>
        <w:numPr>
          <w:ilvl w:val="0"/>
          <w:numId w:val="2"/>
        </w:numPr>
        <w:spacing w:after="160" w:line="259" w:lineRule="auto"/>
        <w:jc w:val="both"/>
        <w:rPr>
          <w:sz w:val="22"/>
          <w:highlight w:val="yellow"/>
          <w:lang w:val="fr-FR"/>
        </w:rPr>
      </w:pPr>
      <w:r w:rsidRPr="000705F6">
        <w:rPr>
          <w:sz w:val="22"/>
          <w:highlight w:val="yellow"/>
          <w:u w:val="single"/>
          <w:lang w:val="fr-FR"/>
        </w:rPr>
        <w:t>Améliorer la qualité de l’eau et réduire la pollution</w:t>
      </w:r>
      <w:r w:rsidRPr="000705F6">
        <w:rPr>
          <w:sz w:val="22"/>
          <w:highlight w:val="yellow"/>
          <w:lang w:val="fr-FR"/>
        </w:rPr>
        <w:t> : améliorer l’accès à l’assainissement</w:t>
      </w:r>
      <w:r w:rsidRPr="00F2348A">
        <w:rPr>
          <w:sz w:val="22"/>
          <w:highlight w:val="yellow"/>
          <w:lang w:val="fr-FR"/>
        </w:rPr>
        <w:t xml:space="preserve"> </w:t>
      </w:r>
      <w:r w:rsidRPr="000705F6">
        <w:rPr>
          <w:sz w:val="22"/>
          <w:highlight w:val="yellow"/>
          <w:lang w:val="fr-FR"/>
        </w:rPr>
        <w:t>et la gestion des déchets (réduisant les rejets et la contamination des ressources en eau</w:t>
      </w:r>
      <w:r>
        <w:rPr>
          <w:sz w:val="22"/>
          <w:highlight w:val="yellow"/>
          <w:lang w:val="fr-FR"/>
        </w:rPr>
        <w:t xml:space="preserve">, gestion efficace des </w:t>
      </w:r>
      <w:r>
        <w:rPr>
          <w:sz w:val="22"/>
          <w:highlight w:val="yellow"/>
          <w:lang w:val="fr-FR"/>
        </w:rPr>
        <w:t>déchets</w:t>
      </w:r>
      <w:r>
        <w:rPr>
          <w:sz w:val="22"/>
          <w:highlight w:val="yellow"/>
          <w:lang w:val="fr-FR"/>
        </w:rPr>
        <w:t xml:space="preserve"> solide, </w:t>
      </w:r>
      <w:proofErr w:type="spellStart"/>
      <w:r>
        <w:rPr>
          <w:sz w:val="22"/>
          <w:highlight w:val="yellow"/>
          <w:lang w:val="fr-FR"/>
        </w:rPr>
        <w:t>etc</w:t>
      </w:r>
      <w:proofErr w:type="spellEnd"/>
      <w:r w:rsidRPr="000705F6">
        <w:rPr>
          <w:sz w:val="22"/>
          <w:highlight w:val="yellow"/>
          <w:lang w:val="fr-FR"/>
        </w:rPr>
        <w:t>)</w:t>
      </w:r>
      <w:r>
        <w:rPr>
          <w:sz w:val="22"/>
          <w:highlight w:val="yellow"/>
          <w:lang w:val="fr-FR"/>
        </w:rPr>
        <w:t xml:space="preserve">. Mettre en place un cadre de veille sur la qualité de l’eau. Facilité la mise en place des </w:t>
      </w:r>
      <w:r>
        <w:rPr>
          <w:sz w:val="22"/>
          <w:highlight w:val="yellow"/>
          <w:lang w:val="fr-FR"/>
        </w:rPr>
        <w:t>systèmes</w:t>
      </w:r>
      <w:r>
        <w:rPr>
          <w:sz w:val="22"/>
          <w:highlight w:val="yellow"/>
          <w:lang w:val="fr-FR"/>
        </w:rPr>
        <w:t xml:space="preserve"> de g</w:t>
      </w:r>
      <w:r w:rsidR="00A70E13">
        <w:rPr>
          <w:sz w:val="22"/>
          <w:highlight w:val="yellow"/>
          <w:lang w:val="fr-FR"/>
        </w:rPr>
        <w:t>estion des eaux usées et excréta</w:t>
      </w:r>
      <w:r>
        <w:rPr>
          <w:sz w:val="22"/>
          <w:highlight w:val="yellow"/>
          <w:lang w:val="fr-FR"/>
        </w:rPr>
        <w:t xml:space="preserve">, et assurer le suivi du Covid-19 dans </w:t>
      </w:r>
      <w:r>
        <w:rPr>
          <w:sz w:val="22"/>
          <w:highlight w:val="yellow"/>
          <w:lang w:val="fr-FR"/>
        </w:rPr>
        <w:t>les eaux usées</w:t>
      </w:r>
      <w:r>
        <w:rPr>
          <w:sz w:val="22"/>
          <w:highlight w:val="yellow"/>
          <w:lang w:val="fr-FR"/>
        </w:rPr>
        <w:t> ;</w:t>
      </w:r>
    </w:p>
    <w:p w:rsidR="000B4BC2" w:rsidRPr="000705F6" w:rsidRDefault="000B4BC2" w:rsidP="000B4BC2">
      <w:pPr>
        <w:numPr>
          <w:ilvl w:val="0"/>
          <w:numId w:val="2"/>
        </w:numPr>
        <w:spacing w:after="160" w:line="259" w:lineRule="auto"/>
        <w:jc w:val="both"/>
        <w:rPr>
          <w:sz w:val="22"/>
          <w:highlight w:val="yellow"/>
          <w:lang w:val="fr-FR"/>
        </w:rPr>
      </w:pPr>
      <w:r w:rsidRPr="000705F6">
        <w:rPr>
          <w:sz w:val="22"/>
          <w:highlight w:val="yellow"/>
          <w:u w:val="single"/>
          <w:lang w:val="fr-FR"/>
        </w:rPr>
        <w:t xml:space="preserve">Renforcer la gestion de l’eau avec un accent sur une meilleure gouvernance de l’eau </w:t>
      </w:r>
      <w:r w:rsidRPr="000705F6">
        <w:rPr>
          <w:sz w:val="22"/>
          <w:highlight w:val="yellow"/>
          <w:u w:val="single"/>
          <w:lang w:val="fr-FR"/>
        </w:rPr>
        <w:t>à</w:t>
      </w:r>
      <w:r w:rsidRPr="000705F6">
        <w:rPr>
          <w:sz w:val="22"/>
          <w:highlight w:val="yellow"/>
          <w:u w:val="single"/>
          <w:lang w:val="fr-FR"/>
        </w:rPr>
        <w:t xml:space="preserve"> travers </w:t>
      </w:r>
      <w:r w:rsidRPr="000705F6">
        <w:rPr>
          <w:sz w:val="22"/>
          <w:highlight w:val="yellow"/>
          <w:u w:val="single"/>
          <w:lang w:val="fr-FR"/>
        </w:rPr>
        <w:t>la gestion décentralisée</w:t>
      </w:r>
      <w:r w:rsidRPr="000705F6">
        <w:rPr>
          <w:sz w:val="22"/>
          <w:highlight w:val="yellow"/>
          <w:u w:val="single"/>
          <w:lang w:val="fr-FR"/>
        </w:rPr>
        <w:t xml:space="preserve"> de l’eau (gestion au niveau le plus bas possible),</w:t>
      </w:r>
      <w:r w:rsidRPr="000705F6">
        <w:rPr>
          <w:sz w:val="22"/>
          <w:highlight w:val="yellow"/>
          <w:lang w:val="fr-FR"/>
        </w:rPr>
        <w:t xml:space="preserve"> et la participation des acteurs, Se doter de politiques qui soient en faveur d’un usage raisonné ou utilisation </w:t>
      </w:r>
      <w:r w:rsidRPr="000705F6">
        <w:rPr>
          <w:sz w:val="22"/>
          <w:highlight w:val="yellow"/>
          <w:lang w:val="fr-FR"/>
        </w:rPr>
        <w:t>rationnelle</w:t>
      </w:r>
      <w:r w:rsidRPr="000705F6">
        <w:rPr>
          <w:sz w:val="22"/>
          <w:highlight w:val="yellow"/>
          <w:lang w:val="fr-FR"/>
        </w:rPr>
        <w:t xml:space="preserve"> des ressources en eau</w:t>
      </w:r>
    </w:p>
    <w:p w:rsidR="000B4BC2" w:rsidRPr="000705F6" w:rsidRDefault="000B4BC2" w:rsidP="000B4BC2">
      <w:pPr>
        <w:numPr>
          <w:ilvl w:val="0"/>
          <w:numId w:val="2"/>
        </w:numPr>
        <w:spacing w:after="160" w:line="259" w:lineRule="auto"/>
        <w:jc w:val="both"/>
        <w:rPr>
          <w:sz w:val="22"/>
          <w:highlight w:val="yellow"/>
          <w:lang w:val="fr-FR"/>
        </w:rPr>
      </w:pPr>
      <w:r w:rsidRPr="000705F6">
        <w:rPr>
          <w:sz w:val="22"/>
          <w:highlight w:val="yellow"/>
          <w:lang w:val="fr-FR"/>
        </w:rPr>
        <w:t>Développer des appr</w:t>
      </w:r>
      <w:r w:rsidR="00A70E13">
        <w:rPr>
          <w:sz w:val="22"/>
          <w:highlight w:val="yellow"/>
          <w:lang w:val="fr-FR"/>
        </w:rPr>
        <w:t>oches de changement de comportement (</w:t>
      </w:r>
      <w:proofErr w:type="gramStart"/>
      <w:r w:rsidR="00A70E13">
        <w:rPr>
          <w:sz w:val="22"/>
          <w:highlight w:val="yellow"/>
          <w:lang w:val="fr-FR"/>
        </w:rPr>
        <w:t xml:space="preserve">mentalité) </w:t>
      </w:r>
      <w:r w:rsidRPr="000705F6">
        <w:rPr>
          <w:sz w:val="22"/>
          <w:highlight w:val="yellow"/>
          <w:lang w:val="fr-FR"/>
        </w:rPr>
        <w:t xml:space="preserve"> (</w:t>
      </w:r>
      <w:proofErr w:type="gramEnd"/>
      <w:r w:rsidRPr="000705F6">
        <w:rPr>
          <w:sz w:val="22"/>
          <w:highlight w:val="yellow"/>
          <w:lang w:val="fr-FR"/>
        </w:rPr>
        <w:t xml:space="preserve">ex. communication for change) pour inciter les usagers à </w:t>
      </w:r>
      <w:r w:rsidRPr="000705F6">
        <w:rPr>
          <w:sz w:val="22"/>
          <w:highlight w:val="yellow"/>
          <w:u w:val="single"/>
          <w:lang w:val="fr-FR"/>
        </w:rPr>
        <w:t>optimiser la consommation des eaux</w:t>
      </w:r>
      <w:r w:rsidRPr="000705F6">
        <w:rPr>
          <w:sz w:val="22"/>
          <w:highlight w:val="yellow"/>
          <w:lang w:val="fr-FR"/>
        </w:rPr>
        <w:t xml:space="preserve"> et sensibiliser tous les utilisateurs. Développer des programmes (et positionner des financements) pour </w:t>
      </w:r>
      <w:r w:rsidRPr="000705F6">
        <w:rPr>
          <w:sz w:val="22"/>
          <w:highlight w:val="yellow"/>
          <w:u w:val="single"/>
          <w:lang w:val="fr-FR"/>
        </w:rPr>
        <w:t>éduquer les</w:t>
      </w:r>
      <w:r w:rsidRPr="000705F6">
        <w:rPr>
          <w:sz w:val="22"/>
          <w:highlight w:val="yellow"/>
          <w:u w:val="single"/>
          <w:lang w:val="fr-FR"/>
        </w:rPr>
        <w:t xml:space="preserve"> utilisateurs sur l’économie de l’eau à tous les niveaux </w:t>
      </w:r>
      <w:r w:rsidRPr="000705F6">
        <w:rPr>
          <w:sz w:val="22"/>
          <w:highlight w:val="yellow"/>
          <w:lang w:val="fr-FR"/>
        </w:rPr>
        <w:t xml:space="preserve">(ménages, réseau, </w:t>
      </w:r>
      <w:r w:rsidRPr="000705F6">
        <w:rPr>
          <w:sz w:val="22"/>
          <w:highlight w:val="yellow"/>
          <w:lang w:val="fr-FR"/>
        </w:rPr>
        <w:t>stations) /</w:t>
      </w:r>
      <w:r w:rsidRPr="000705F6">
        <w:rPr>
          <w:sz w:val="22"/>
          <w:highlight w:val="yellow"/>
          <w:lang w:val="fr-FR"/>
        </w:rPr>
        <w:t xml:space="preserve"> Saisir la prochaine journée mondiale de l’eau pour une action concrète. Associer les </w:t>
      </w:r>
      <w:proofErr w:type="spellStart"/>
      <w:r w:rsidRPr="000705F6">
        <w:rPr>
          <w:sz w:val="22"/>
          <w:highlight w:val="yellow"/>
          <w:lang w:val="fr-FR"/>
        </w:rPr>
        <w:t>CTDs</w:t>
      </w:r>
      <w:proofErr w:type="spellEnd"/>
      <w:r w:rsidRPr="000705F6">
        <w:rPr>
          <w:sz w:val="22"/>
          <w:highlight w:val="yellow"/>
          <w:lang w:val="fr-FR"/>
        </w:rPr>
        <w:t xml:space="preserve"> à la sensibilisation</w:t>
      </w:r>
    </w:p>
    <w:p w:rsidR="000B4BC2" w:rsidRPr="00912C13" w:rsidRDefault="000B4BC2" w:rsidP="000B4BC2">
      <w:pPr>
        <w:numPr>
          <w:ilvl w:val="0"/>
          <w:numId w:val="2"/>
        </w:numPr>
        <w:spacing w:after="160" w:line="259" w:lineRule="auto"/>
        <w:jc w:val="both"/>
        <w:rPr>
          <w:sz w:val="22"/>
          <w:highlight w:val="yellow"/>
          <w:lang w:val="fr-FR"/>
        </w:rPr>
      </w:pPr>
      <w:r w:rsidRPr="000705F6">
        <w:rPr>
          <w:sz w:val="22"/>
          <w:highlight w:val="yellow"/>
          <w:lang w:val="fr-FR"/>
        </w:rPr>
        <w:t xml:space="preserve">Trouver des voies et moyens pour continuer à </w:t>
      </w:r>
      <w:r w:rsidRPr="000705F6">
        <w:rPr>
          <w:sz w:val="22"/>
          <w:highlight w:val="yellow"/>
          <w:u w:val="single"/>
          <w:lang w:val="fr-FR"/>
        </w:rPr>
        <w:t>investir dans la mobilisation et la fourniture durables de l’eau potable, et offrir une service d’eau de qualité.</w:t>
      </w:r>
    </w:p>
    <w:p w:rsidR="000B4BC2" w:rsidRPr="00A70E13" w:rsidRDefault="000B4BC2" w:rsidP="000B4BC2">
      <w:pPr>
        <w:numPr>
          <w:ilvl w:val="0"/>
          <w:numId w:val="2"/>
        </w:numPr>
        <w:spacing w:after="160" w:line="259" w:lineRule="auto"/>
        <w:jc w:val="both"/>
        <w:rPr>
          <w:sz w:val="22"/>
          <w:highlight w:val="yellow"/>
          <w:lang w:val="fr-FR"/>
        </w:rPr>
      </w:pPr>
      <w:r>
        <w:rPr>
          <w:sz w:val="22"/>
          <w:highlight w:val="yellow"/>
          <w:u w:val="single"/>
          <w:lang w:val="fr-FR"/>
        </w:rPr>
        <w:t xml:space="preserve">Construire de partenariats et s’approcher </w:t>
      </w:r>
      <w:r>
        <w:rPr>
          <w:sz w:val="22"/>
          <w:highlight w:val="yellow"/>
          <w:u w:val="single"/>
          <w:lang w:val="fr-FR"/>
        </w:rPr>
        <w:t>stratégiquement</w:t>
      </w:r>
      <w:r>
        <w:rPr>
          <w:sz w:val="22"/>
          <w:highlight w:val="yellow"/>
          <w:u w:val="single"/>
          <w:lang w:val="fr-FR"/>
        </w:rPr>
        <w:t xml:space="preserve"> des partenaires de santé publique comme les </w:t>
      </w:r>
      <w:r>
        <w:rPr>
          <w:sz w:val="22"/>
          <w:highlight w:val="yellow"/>
          <w:u w:val="single"/>
          <w:lang w:val="fr-FR"/>
        </w:rPr>
        <w:t>Ministère</w:t>
      </w:r>
      <w:r>
        <w:rPr>
          <w:sz w:val="22"/>
          <w:highlight w:val="yellow"/>
          <w:u w:val="single"/>
          <w:lang w:val="fr-FR"/>
        </w:rPr>
        <w:t xml:space="preserve"> en charge </w:t>
      </w:r>
      <w:r>
        <w:rPr>
          <w:sz w:val="22"/>
          <w:highlight w:val="yellow"/>
          <w:u w:val="single"/>
          <w:lang w:val="fr-FR"/>
        </w:rPr>
        <w:t>des santés</w:t>
      </w:r>
      <w:r w:rsidR="00A70E13">
        <w:rPr>
          <w:sz w:val="22"/>
          <w:highlight w:val="yellow"/>
          <w:u w:val="single"/>
          <w:lang w:val="fr-FR"/>
        </w:rPr>
        <w:t xml:space="preserve"> publique dans les pays ; sans oublier les mairies, les acteurs du secteur environnement et d’urgence humanitaires ;</w:t>
      </w:r>
      <w:r>
        <w:rPr>
          <w:sz w:val="22"/>
          <w:highlight w:val="yellow"/>
          <w:u w:val="single"/>
          <w:lang w:val="fr-FR"/>
        </w:rPr>
        <w:t xml:space="preserve"> </w:t>
      </w:r>
    </w:p>
    <w:p w:rsidR="00A70E13" w:rsidRPr="000B4BC2" w:rsidRDefault="00A70E13" w:rsidP="000B4BC2">
      <w:pPr>
        <w:numPr>
          <w:ilvl w:val="0"/>
          <w:numId w:val="2"/>
        </w:numPr>
        <w:spacing w:after="160" w:line="259" w:lineRule="auto"/>
        <w:jc w:val="both"/>
        <w:rPr>
          <w:sz w:val="22"/>
          <w:highlight w:val="yellow"/>
          <w:lang w:val="fr-FR"/>
        </w:rPr>
      </w:pPr>
      <w:r>
        <w:rPr>
          <w:sz w:val="22"/>
          <w:highlight w:val="yellow"/>
          <w:u w:val="single"/>
          <w:lang w:val="fr-FR"/>
        </w:rPr>
        <w:t>Sensibilisation des acteurs sur la « chaine » de mobilisation et distribution des eaux potable ;</w:t>
      </w:r>
    </w:p>
    <w:p w:rsidR="000B4BC2" w:rsidRPr="006A388D" w:rsidRDefault="000B4BC2" w:rsidP="000B4BC2">
      <w:pPr>
        <w:spacing w:after="160" w:line="259" w:lineRule="auto"/>
        <w:jc w:val="both"/>
        <w:rPr>
          <w:b/>
          <w:i/>
          <w:color w:val="4472C4"/>
          <w:sz w:val="22"/>
          <w:highlight w:val="yellow"/>
          <w:u w:val="single"/>
          <w:lang w:val="fr-FR"/>
        </w:rPr>
      </w:pPr>
      <w:bookmarkStart w:id="0" w:name="_GoBack"/>
      <w:bookmarkEnd w:id="0"/>
      <w:r w:rsidRPr="006A388D">
        <w:rPr>
          <w:b/>
          <w:i/>
          <w:color w:val="4472C4"/>
          <w:sz w:val="22"/>
          <w:highlight w:val="yellow"/>
          <w:u w:val="single"/>
          <w:lang w:val="fr-FR"/>
        </w:rPr>
        <w:lastRenderedPageBreak/>
        <w:t>Synthèse</w:t>
      </w:r>
      <w:r>
        <w:rPr>
          <w:b/>
          <w:i/>
          <w:color w:val="4472C4"/>
          <w:sz w:val="22"/>
          <w:highlight w:val="yellow"/>
          <w:u w:val="single"/>
          <w:lang w:val="fr-FR"/>
        </w:rPr>
        <w:t xml:space="preserve"> </w:t>
      </w:r>
      <w:r w:rsidRPr="006A388D">
        <w:rPr>
          <w:b/>
          <w:i/>
          <w:color w:val="4472C4"/>
          <w:sz w:val="22"/>
          <w:highlight w:val="yellow"/>
          <w:u w:val="single"/>
          <w:lang w:val="fr-FR"/>
        </w:rPr>
        <w:t xml:space="preserve">: Facteurs / indicateurs de </w:t>
      </w:r>
      <w:r w:rsidRPr="006A388D">
        <w:rPr>
          <w:b/>
          <w:i/>
          <w:color w:val="4472C4"/>
          <w:sz w:val="22"/>
          <w:highlight w:val="yellow"/>
          <w:u w:val="single"/>
          <w:lang w:val="fr-FR"/>
        </w:rPr>
        <w:t>succès</w:t>
      </w:r>
      <w:r w:rsidRPr="006A388D">
        <w:rPr>
          <w:b/>
          <w:i/>
          <w:color w:val="4472C4"/>
          <w:sz w:val="22"/>
          <w:highlight w:val="yellow"/>
          <w:u w:val="single"/>
          <w:lang w:val="fr-FR"/>
        </w:rPr>
        <w:t> </w:t>
      </w:r>
    </w:p>
    <w:p w:rsidR="000B4BC2" w:rsidRPr="00713AD2" w:rsidRDefault="000B4BC2" w:rsidP="000B4BC2">
      <w:pPr>
        <w:numPr>
          <w:ilvl w:val="0"/>
          <w:numId w:val="3"/>
        </w:numPr>
        <w:spacing w:after="160" w:line="259" w:lineRule="auto"/>
        <w:jc w:val="both"/>
        <w:rPr>
          <w:sz w:val="22"/>
          <w:highlight w:val="yellow"/>
          <w:u w:val="single"/>
          <w:lang w:val="fr-FR"/>
        </w:rPr>
      </w:pPr>
      <w:r w:rsidRPr="00713AD2">
        <w:rPr>
          <w:sz w:val="22"/>
          <w:highlight w:val="yellow"/>
          <w:u w:val="single"/>
          <w:lang w:val="fr-FR"/>
        </w:rPr>
        <w:t xml:space="preserve">Ratio de consommation : </w:t>
      </w:r>
      <w:r w:rsidRPr="00713AD2">
        <w:rPr>
          <w:sz w:val="22"/>
          <w:highlight w:val="yellow"/>
          <w:u w:val="single"/>
          <w:lang w:val="fr-FR"/>
        </w:rPr>
        <w:t>réduction</w:t>
      </w:r>
      <w:r w:rsidRPr="00713AD2">
        <w:rPr>
          <w:sz w:val="22"/>
          <w:highlight w:val="yellow"/>
          <w:u w:val="single"/>
          <w:lang w:val="fr-FR"/>
        </w:rPr>
        <w:t xml:space="preserve"> du volume moyen consommé par abonné à un service d’eau</w:t>
      </w:r>
    </w:p>
    <w:p w:rsidR="000B4BC2" w:rsidRPr="00713AD2" w:rsidRDefault="000B4BC2" w:rsidP="000B4BC2">
      <w:pPr>
        <w:numPr>
          <w:ilvl w:val="0"/>
          <w:numId w:val="3"/>
        </w:numPr>
        <w:spacing w:after="160" w:line="259" w:lineRule="auto"/>
        <w:jc w:val="both"/>
        <w:rPr>
          <w:sz w:val="22"/>
          <w:highlight w:val="yellow"/>
          <w:u w:val="single"/>
          <w:lang w:val="fr-FR"/>
        </w:rPr>
      </w:pPr>
      <w:r w:rsidRPr="00713AD2">
        <w:rPr>
          <w:sz w:val="22"/>
          <w:highlight w:val="yellow"/>
          <w:u w:val="single"/>
          <w:lang w:val="fr-FR"/>
        </w:rPr>
        <w:t>Réduction</w:t>
      </w:r>
      <w:r w:rsidRPr="00713AD2">
        <w:rPr>
          <w:sz w:val="22"/>
          <w:highlight w:val="yellow"/>
          <w:u w:val="single"/>
          <w:lang w:val="fr-FR"/>
        </w:rPr>
        <w:t xml:space="preserve"> du nombre de jour d’interruption de la fourniture en eau sur le réseau conventionnel</w:t>
      </w:r>
    </w:p>
    <w:p w:rsidR="000B4BC2" w:rsidRPr="00713AD2" w:rsidRDefault="000B4BC2" w:rsidP="000B4BC2">
      <w:pPr>
        <w:numPr>
          <w:ilvl w:val="0"/>
          <w:numId w:val="3"/>
        </w:numPr>
        <w:spacing w:after="160" w:line="259" w:lineRule="auto"/>
        <w:jc w:val="both"/>
        <w:rPr>
          <w:sz w:val="22"/>
          <w:highlight w:val="yellow"/>
          <w:u w:val="single"/>
          <w:lang w:val="fr-FR"/>
        </w:rPr>
      </w:pPr>
      <w:r w:rsidRPr="00713AD2">
        <w:rPr>
          <w:sz w:val="22"/>
          <w:highlight w:val="yellow"/>
          <w:u w:val="single"/>
          <w:lang w:val="fr-FR"/>
        </w:rPr>
        <w:t>Augmentation du nombre des nouveaux d’ouvrage décentralisé, et du Nombre de nouveaux ouvrages construits dans les services publics (marchés, écoles, lycées, hôpitaux, gares routières, services publics)</w:t>
      </w:r>
    </w:p>
    <w:p w:rsidR="000B4BC2" w:rsidRPr="00713AD2" w:rsidRDefault="000B4BC2" w:rsidP="000B4BC2">
      <w:pPr>
        <w:numPr>
          <w:ilvl w:val="0"/>
          <w:numId w:val="3"/>
        </w:numPr>
        <w:spacing w:after="160" w:line="259" w:lineRule="auto"/>
        <w:jc w:val="both"/>
        <w:rPr>
          <w:sz w:val="22"/>
          <w:highlight w:val="yellow"/>
          <w:u w:val="single"/>
          <w:lang w:val="fr-FR"/>
        </w:rPr>
      </w:pPr>
      <w:r w:rsidRPr="00713AD2">
        <w:rPr>
          <w:sz w:val="22"/>
          <w:highlight w:val="yellow"/>
          <w:u w:val="single"/>
          <w:lang w:val="fr-FR"/>
        </w:rPr>
        <w:t>Augmentation du nombre de nouveaux ouvrages d’AEP</w:t>
      </w:r>
    </w:p>
    <w:p w:rsidR="000B4BC2" w:rsidRPr="00713AD2" w:rsidRDefault="000B4BC2" w:rsidP="000B4BC2">
      <w:pPr>
        <w:numPr>
          <w:ilvl w:val="0"/>
          <w:numId w:val="3"/>
        </w:numPr>
        <w:spacing w:after="160" w:line="259" w:lineRule="auto"/>
        <w:jc w:val="both"/>
        <w:rPr>
          <w:sz w:val="22"/>
          <w:highlight w:val="yellow"/>
          <w:u w:val="single"/>
          <w:lang w:val="fr-FR"/>
        </w:rPr>
      </w:pPr>
      <w:r w:rsidRPr="00713AD2">
        <w:rPr>
          <w:sz w:val="22"/>
          <w:highlight w:val="yellow"/>
          <w:u w:val="single"/>
          <w:lang w:val="fr-FR"/>
        </w:rPr>
        <w:t xml:space="preserve">Augmentation du nombre des ouvrages existants </w:t>
      </w:r>
      <w:r w:rsidRPr="00713AD2">
        <w:rPr>
          <w:sz w:val="22"/>
          <w:highlight w:val="yellow"/>
          <w:u w:val="single"/>
          <w:lang w:val="fr-FR"/>
        </w:rPr>
        <w:t>fonctionnelle</w:t>
      </w:r>
      <w:r w:rsidRPr="00713AD2">
        <w:rPr>
          <w:sz w:val="22"/>
          <w:highlight w:val="yellow"/>
          <w:u w:val="single"/>
          <w:lang w:val="fr-FR"/>
        </w:rPr>
        <w:t xml:space="preserve"> (suivi et réhabilitation </w:t>
      </w:r>
      <w:r w:rsidRPr="00713AD2">
        <w:rPr>
          <w:sz w:val="22"/>
          <w:highlight w:val="yellow"/>
          <w:u w:val="single"/>
          <w:lang w:val="fr-FR"/>
        </w:rPr>
        <w:t>régulier</w:t>
      </w:r>
      <w:r w:rsidRPr="00713AD2">
        <w:rPr>
          <w:sz w:val="22"/>
          <w:highlight w:val="yellow"/>
          <w:u w:val="single"/>
          <w:lang w:val="fr-FR"/>
        </w:rPr>
        <w:t xml:space="preserve"> des ouvrages)</w:t>
      </w:r>
    </w:p>
    <w:p w:rsidR="000B4BC2" w:rsidRPr="00713AD2" w:rsidRDefault="000B4BC2" w:rsidP="000B4BC2">
      <w:pPr>
        <w:numPr>
          <w:ilvl w:val="0"/>
          <w:numId w:val="3"/>
        </w:numPr>
        <w:spacing w:after="160" w:line="259" w:lineRule="auto"/>
        <w:jc w:val="both"/>
        <w:rPr>
          <w:sz w:val="22"/>
          <w:highlight w:val="yellow"/>
          <w:u w:val="single"/>
          <w:lang w:val="fr-FR"/>
        </w:rPr>
      </w:pPr>
      <w:r w:rsidRPr="00713AD2">
        <w:rPr>
          <w:sz w:val="22"/>
          <w:highlight w:val="yellow"/>
          <w:u w:val="single"/>
          <w:lang w:val="fr-FR"/>
        </w:rPr>
        <w:t>Augmentation du Budget alloué à la mobilisation et la desserte en eau surtout en milieu rural</w:t>
      </w:r>
    </w:p>
    <w:p w:rsidR="000B4BC2" w:rsidRPr="00713AD2" w:rsidRDefault="000B4BC2" w:rsidP="000B4BC2">
      <w:pPr>
        <w:numPr>
          <w:ilvl w:val="0"/>
          <w:numId w:val="3"/>
        </w:numPr>
        <w:spacing w:after="160" w:line="259" w:lineRule="auto"/>
        <w:jc w:val="both"/>
        <w:rPr>
          <w:sz w:val="22"/>
          <w:highlight w:val="yellow"/>
          <w:u w:val="single"/>
          <w:lang w:val="fr-FR"/>
        </w:rPr>
      </w:pPr>
      <w:r w:rsidRPr="00713AD2">
        <w:rPr>
          <w:sz w:val="22"/>
          <w:highlight w:val="yellow"/>
          <w:u w:val="single"/>
          <w:lang w:val="fr-FR"/>
        </w:rPr>
        <w:t xml:space="preserve">Augmentation du Nombre d’acteurs impliqués dans la sensibilisation et l’éducation, et du Nombre de programme de sensibilisation et d’éducation sur </w:t>
      </w:r>
      <w:r w:rsidRPr="00713AD2">
        <w:rPr>
          <w:sz w:val="22"/>
          <w:highlight w:val="yellow"/>
          <w:u w:val="single"/>
          <w:lang w:val="fr-FR"/>
        </w:rPr>
        <w:t>l’AEPHA.</w:t>
      </w:r>
      <w:r w:rsidRPr="00713AD2">
        <w:rPr>
          <w:sz w:val="22"/>
          <w:highlight w:val="yellow"/>
          <w:u w:val="single"/>
          <w:lang w:val="fr-FR"/>
        </w:rPr>
        <w:t xml:space="preserve"> </w:t>
      </w:r>
    </w:p>
    <w:p w:rsidR="000B4BC2" w:rsidRPr="000705F6" w:rsidRDefault="000B4BC2" w:rsidP="000B4BC2">
      <w:pPr>
        <w:spacing w:after="160" w:line="259" w:lineRule="auto"/>
        <w:jc w:val="both"/>
        <w:rPr>
          <w:sz w:val="22"/>
          <w:highlight w:val="yellow"/>
          <w:lang w:val="fr-FR"/>
        </w:rPr>
      </w:pPr>
    </w:p>
    <w:p w:rsidR="000864DC" w:rsidRPr="000B4BC2" w:rsidRDefault="00A70E13">
      <w:pPr>
        <w:rPr>
          <w:lang w:val="fr-FR"/>
        </w:rPr>
      </w:pPr>
    </w:p>
    <w:sectPr w:rsidR="000864DC" w:rsidRPr="000B4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A70E2"/>
    <w:multiLevelType w:val="hybridMultilevel"/>
    <w:tmpl w:val="A574EB2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7F22BE"/>
    <w:multiLevelType w:val="hybridMultilevel"/>
    <w:tmpl w:val="37ECC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247346"/>
    <w:multiLevelType w:val="hybridMultilevel"/>
    <w:tmpl w:val="25709E3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C2"/>
    <w:rsid w:val="000B4BC2"/>
    <w:rsid w:val="00274504"/>
    <w:rsid w:val="00A70E13"/>
    <w:rsid w:val="00BC3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45DD"/>
  <w15:chartTrackingRefBased/>
  <w15:docId w15:val="{2A0995BA-E668-4F15-9CAF-F2D6BA5B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BC2"/>
    <w:pPr>
      <w:spacing w:after="200" w:line="276" w:lineRule="auto"/>
    </w:pPr>
    <w:rPr>
      <w:rFonts w:ascii="Calibri" w:eastAsia="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hycinth banseka</dc:creator>
  <cp:keywords/>
  <dc:description/>
  <cp:lastModifiedBy>hycinth banseka</cp:lastModifiedBy>
  <cp:revision>2</cp:revision>
  <dcterms:created xsi:type="dcterms:W3CDTF">2020-10-22T11:17:00Z</dcterms:created>
  <dcterms:modified xsi:type="dcterms:W3CDTF">2020-10-22T11:17:00Z</dcterms:modified>
</cp:coreProperties>
</file>