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A717" w14:textId="519D4688" w:rsidR="00941231" w:rsidRPr="00E03C53" w:rsidRDefault="00A83459" w:rsidP="00AF0D44">
      <w:pPr>
        <w:spacing w:after="120" w:line="240" w:lineRule="auto"/>
        <w:jc w:val="center"/>
        <w:rPr>
          <w:b/>
          <w:bCs/>
          <w:lang w:val="en-GB"/>
        </w:rPr>
      </w:pPr>
      <w:r w:rsidRPr="00E03C53">
        <w:rPr>
          <w:b/>
          <w:bCs/>
          <w:lang w:val="en-GB"/>
        </w:rPr>
        <w:t>EU Integrated Nutrient Management Action Plan</w:t>
      </w:r>
    </w:p>
    <w:p w14:paraId="19A7ADD2" w14:textId="735A8468" w:rsidR="00A83459" w:rsidRPr="00E03C53" w:rsidRDefault="002508EB" w:rsidP="00AF0D44">
      <w:pPr>
        <w:spacing w:after="120" w:line="240" w:lineRule="auto"/>
        <w:jc w:val="center"/>
        <w:rPr>
          <w:b/>
          <w:bCs/>
          <w:lang w:val="en-GB"/>
        </w:rPr>
      </w:pPr>
      <w:r w:rsidRPr="00E03C53">
        <w:rPr>
          <w:b/>
          <w:bCs/>
          <w:lang w:val="en-GB"/>
        </w:rPr>
        <w:t xml:space="preserve">Feedback </w:t>
      </w:r>
      <w:r w:rsidR="00A83459" w:rsidRPr="00E03C53">
        <w:rPr>
          <w:b/>
          <w:bCs/>
          <w:lang w:val="en-GB"/>
        </w:rPr>
        <w:t xml:space="preserve">by GWP CEE </w:t>
      </w:r>
      <w:r w:rsidRPr="00E03C53">
        <w:rPr>
          <w:b/>
          <w:bCs/>
          <w:lang w:val="en-GB"/>
        </w:rPr>
        <w:t>S</w:t>
      </w:r>
      <w:r w:rsidR="00A83459" w:rsidRPr="00E03C53">
        <w:rPr>
          <w:b/>
          <w:bCs/>
          <w:lang w:val="en-GB"/>
        </w:rPr>
        <w:t xml:space="preserve">ustainable </w:t>
      </w:r>
      <w:r w:rsidRPr="00E03C53">
        <w:rPr>
          <w:b/>
          <w:bCs/>
          <w:lang w:val="en-GB"/>
        </w:rPr>
        <w:t>S</w:t>
      </w:r>
      <w:r w:rsidR="00A83459" w:rsidRPr="00E03C53">
        <w:rPr>
          <w:b/>
          <w:bCs/>
          <w:lang w:val="en-GB"/>
        </w:rPr>
        <w:t xml:space="preserve">anitation </w:t>
      </w:r>
      <w:r w:rsidRPr="00E03C53">
        <w:rPr>
          <w:b/>
          <w:bCs/>
          <w:lang w:val="en-GB"/>
        </w:rPr>
        <w:t>T</w:t>
      </w:r>
      <w:r w:rsidR="00A83459" w:rsidRPr="00E03C53">
        <w:rPr>
          <w:b/>
          <w:bCs/>
          <w:lang w:val="en-GB"/>
        </w:rPr>
        <w:t xml:space="preserve">ask </w:t>
      </w:r>
      <w:r w:rsidRPr="00E03C53">
        <w:rPr>
          <w:b/>
          <w:bCs/>
          <w:lang w:val="en-GB"/>
        </w:rPr>
        <w:t>F</w:t>
      </w:r>
      <w:r w:rsidR="00A83459" w:rsidRPr="00E03C53">
        <w:rPr>
          <w:b/>
          <w:bCs/>
          <w:lang w:val="en-GB"/>
        </w:rPr>
        <w:t>orce</w:t>
      </w:r>
    </w:p>
    <w:p w14:paraId="7B7D9F80" w14:textId="1D5CDFF2" w:rsidR="00A83459" w:rsidRPr="00E03C53" w:rsidRDefault="00A83459" w:rsidP="00AF0D44">
      <w:pPr>
        <w:spacing w:after="120" w:line="240" w:lineRule="auto"/>
        <w:rPr>
          <w:lang w:val="en-GB"/>
        </w:rPr>
      </w:pPr>
    </w:p>
    <w:p w14:paraId="2D14C2A6" w14:textId="40C9AA7D" w:rsidR="00A83459" w:rsidRPr="00E03C53" w:rsidRDefault="00687E09" w:rsidP="00E03C53">
      <w:pPr>
        <w:spacing w:after="120" w:line="240" w:lineRule="auto"/>
        <w:jc w:val="both"/>
        <w:rPr>
          <w:i/>
          <w:iCs/>
          <w:sz w:val="18"/>
          <w:szCs w:val="18"/>
          <w:lang w:val="en-GB"/>
        </w:rPr>
      </w:pPr>
      <w:r w:rsidRPr="00E03C53">
        <w:rPr>
          <w:i/>
          <w:iCs/>
          <w:sz w:val="18"/>
          <w:szCs w:val="18"/>
          <w:lang w:val="en-GB"/>
        </w:rPr>
        <w:t>Sustainable sanitation task force is a group of experts from Central and Eastern Europe addressing the lacking and improper wastewater collection and treatment in rural areas of the region. The task force is working in the framework of Global Water Partnership in Central and Eastern Europe since 20</w:t>
      </w:r>
      <w:r w:rsidR="00975BAE" w:rsidRPr="00E03C53">
        <w:rPr>
          <w:i/>
          <w:iCs/>
          <w:sz w:val="18"/>
          <w:szCs w:val="18"/>
          <w:lang w:val="en-GB"/>
        </w:rPr>
        <w:t>11</w:t>
      </w:r>
      <w:r w:rsidRPr="00E03C53">
        <w:rPr>
          <w:i/>
          <w:iCs/>
          <w:sz w:val="18"/>
          <w:szCs w:val="18"/>
          <w:lang w:val="en-GB"/>
        </w:rPr>
        <w:t xml:space="preserve">. </w:t>
      </w:r>
    </w:p>
    <w:p w14:paraId="177CBB08" w14:textId="77BABBBF" w:rsidR="005F4798" w:rsidRPr="00E03C53" w:rsidRDefault="00975BAE" w:rsidP="00E03C53">
      <w:pPr>
        <w:spacing w:after="120" w:line="240" w:lineRule="auto"/>
        <w:jc w:val="both"/>
        <w:rPr>
          <w:lang w:val="en-GB"/>
        </w:rPr>
      </w:pPr>
      <w:r w:rsidRPr="00E03C53">
        <w:rPr>
          <w:lang w:val="en-GB"/>
        </w:rPr>
        <w:t>Under the currently valid EU legislation</w:t>
      </w:r>
      <w:r w:rsidR="004B2B82">
        <w:rPr>
          <w:lang w:val="en-GB"/>
        </w:rPr>
        <w:t>,</w:t>
      </w:r>
      <w:r w:rsidRPr="00E03C53">
        <w:rPr>
          <w:lang w:val="en-GB"/>
        </w:rPr>
        <w:t xml:space="preserve"> wastewater collection and treatment in small settlements (&lt;2000 PE) is not clearly regulated. Revision of the Urban Waste Water Directive (91/271/EEC) considers policy changes for remaining pollution, which comes </w:t>
      </w:r>
      <w:r w:rsidR="005F4798" w:rsidRPr="00E03C53">
        <w:rPr>
          <w:lang w:val="en-GB"/>
        </w:rPr>
        <w:t>also from</w:t>
      </w:r>
      <w:r w:rsidRPr="00E03C53">
        <w:rPr>
          <w:lang w:val="en-GB"/>
        </w:rPr>
        <w:t xml:space="preserve"> small villages and towns and individual collection systems</w:t>
      </w:r>
      <w:r w:rsidR="003D2444" w:rsidRPr="00E03C53">
        <w:rPr>
          <w:lang w:val="en-GB"/>
        </w:rPr>
        <w:t xml:space="preserve"> not falling within the scope of the Directive</w:t>
      </w:r>
      <w:r w:rsidRPr="00E03C53">
        <w:rPr>
          <w:lang w:val="en-GB"/>
        </w:rPr>
        <w:t xml:space="preserve">. </w:t>
      </w:r>
      <w:r w:rsidR="003D2444" w:rsidRPr="00E03C53">
        <w:rPr>
          <w:b/>
          <w:bCs/>
          <w:lang w:val="en-GB"/>
        </w:rPr>
        <w:t xml:space="preserve">The number of small settlements in </w:t>
      </w:r>
      <w:r w:rsidR="005F4798" w:rsidRPr="00E03C53">
        <w:rPr>
          <w:b/>
          <w:bCs/>
          <w:lang w:val="en-GB"/>
        </w:rPr>
        <w:t>C</w:t>
      </w:r>
      <w:r w:rsidRPr="00E03C53">
        <w:rPr>
          <w:b/>
          <w:bCs/>
          <w:lang w:val="en-GB"/>
        </w:rPr>
        <w:t xml:space="preserve">entral and </w:t>
      </w:r>
      <w:r w:rsidR="005F4798" w:rsidRPr="00E03C53">
        <w:rPr>
          <w:b/>
          <w:bCs/>
          <w:lang w:val="en-GB"/>
        </w:rPr>
        <w:t>E</w:t>
      </w:r>
      <w:r w:rsidRPr="00E03C53">
        <w:rPr>
          <w:b/>
          <w:bCs/>
          <w:lang w:val="en-GB"/>
        </w:rPr>
        <w:t xml:space="preserve">astern Europe </w:t>
      </w:r>
      <w:r w:rsidR="003D2444" w:rsidRPr="00E03C53">
        <w:rPr>
          <w:b/>
          <w:bCs/>
          <w:lang w:val="en-GB"/>
        </w:rPr>
        <w:t>is significant</w:t>
      </w:r>
      <w:r w:rsidR="003D2444" w:rsidRPr="00E03C53">
        <w:rPr>
          <w:lang w:val="en-GB"/>
        </w:rPr>
        <w:t xml:space="preserve">, inhabiting 30% of total population, </w:t>
      </w:r>
      <w:r w:rsidRPr="00E03C53">
        <w:rPr>
          <w:lang w:val="en-GB"/>
        </w:rPr>
        <w:t xml:space="preserve">and inappropriate treatment of wastewater from these settlements causes pollution of surface and groundwaters. </w:t>
      </w:r>
      <w:r w:rsidR="005F4798" w:rsidRPr="00E03C53">
        <w:rPr>
          <w:lang w:val="en-GB"/>
        </w:rPr>
        <w:t xml:space="preserve">the region (Istenič et al., 2021). </w:t>
      </w:r>
    </w:p>
    <w:p w14:paraId="23FA4818" w14:textId="5F8E214F" w:rsidR="00AF0D44" w:rsidRPr="00E03C53" w:rsidRDefault="00AF0D44" w:rsidP="00E03C53">
      <w:pPr>
        <w:spacing w:after="120" w:line="240" w:lineRule="auto"/>
        <w:jc w:val="both"/>
        <w:rPr>
          <w:lang w:val="en-GB"/>
        </w:rPr>
      </w:pPr>
      <w:r w:rsidRPr="00E03C53">
        <w:rPr>
          <w:lang w:val="en-GB"/>
        </w:rPr>
        <w:t>Determination of a feasible wastewater collection and treatment system in rural and peri-urban areas is a complex process that should consider not only geographical features, water supply systems, financing, and regulations but also potential for reuse of reclaimed water and coupling with other sectors like agriculture and energy, especially when they are present in local environment and thus providing short circuits. Wastewater reuse is addressing global environmental problems such as (i) water deficit</w:t>
      </w:r>
      <w:r w:rsidRPr="00E03C53">
        <w:rPr>
          <w:b/>
          <w:bCs/>
          <w:lang w:val="en-GB"/>
        </w:rPr>
        <w:t xml:space="preserve"> </w:t>
      </w:r>
      <w:r w:rsidRPr="00E03C53">
        <w:rPr>
          <w:lang w:val="en-GB"/>
        </w:rPr>
        <w:t>in dry (e.g., Mediterranean) and/or agricultural areas (agriculture uses 70% of fresh water); (ii) nutrient depletion</w:t>
      </w:r>
      <w:r w:rsidRPr="00E03C53">
        <w:rPr>
          <w:b/>
          <w:bCs/>
          <w:lang w:val="en-GB"/>
        </w:rPr>
        <w:t xml:space="preserve"> </w:t>
      </w:r>
      <w:r w:rsidRPr="00E03C53">
        <w:rPr>
          <w:lang w:val="en-GB"/>
        </w:rPr>
        <w:t>(mineral phosphorous fertilizers are obtained from mineral ores and present unrenewable resource); and high energy needs</w:t>
      </w:r>
      <w:r w:rsidRPr="00E03C53">
        <w:rPr>
          <w:b/>
          <w:bCs/>
          <w:lang w:val="en-GB"/>
        </w:rPr>
        <w:t xml:space="preserve"> </w:t>
      </w:r>
      <w:r w:rsidRPr="00E03C53">
        <w:rPr>
          <w:lang w:val="en-GB"/>
        </w:rPr>
        <w:t xml:space="preserve">for production of nitrogen mineral fertilizers and wastewater treatment. </w:t>
      </w:r>
    </w:p>
    <w:p w14:paraId="749EB018" w14:textId="27E11D68" w:rsidR="00975BAE" w:rsidRPr="00E03C53" w:rsidRDefault="00975BAE" w:rsidP="00E03C53">
      <w:pPr>
        <w:spacing w:after="120" w:line="240" w:lineRule="auto"/>
        <w:jc w:val="both"/>
        <w:rPr>
          <w:lang w:val="en-GB"/>
        </w:rPr>
      </w:pPr>
      <w:r w:rsidRPr="00E03C53">
        <w:rPr>
          <w:lang w:val="en-GB"/>
        </w:rPr>
        <w:t xml:space="preserve">Simple and robust technologies such as nature-based solutions </w:t>
      </w:r>
      <w:r w:rsidR="003D2444" w:rsidRPr="00E03C53">
        <w:rPr>
          <w:lang w:val="en-GB"/>
        </w:rPr>
        <w:t>(</w:t>
      </w:r>
      <w:r w:rsidRPr="00E03C53">
        <w:rPr>
          <w:lang w:val="en-GB"/>
        </w:rPr>
        <w:t xml:space="preserve">NBS) that have low operation and maintenance requirements and costs, are recognised as most suitable </w:t>
      </w:r>
      <w:r w:rsidR="00CE37F3" w:rsidRPr="00E03C53">
        <w:rPr>
          <w:lang w:val="en-GB"/>
        </w:rPr>
        <w:t xml:space="preserve">for rural areas. In addition, </w:t>
      </w:r>
      <w:r w:rsidR="00CE37F3" w:rsidRPr="00E03C53">
        <w:rPr>
          <w:b/>
          <w:bCs/>
          <w:lang w:val="en-GB"/>
        </w:rPr>
        <w:t>NBS are important building blocks for resource recovery</w:t>
      </w:r>
      <w:r w:rsidR="00CE37F3" w:rsidRPr="00E03C53">
        <w:rPr>
          <w:lang w:val="en-GB"/>
        </w:rPr>
        <w:t xml:space="preserve"> </w:t>
      </w:r>
      <w:r w:rsidR="005F4798" w:rsidRPr="00E03C53">
        <w:rPr>
          <w:lang w:val="en-GB"/>
        </w:rPr>
        <w:t xml:space="preserve">(van </w:t>
      </w:r>
      <w:proofErr w:type="spellStart"/>
      <w:r w:rsidR="005F4798" w:rsidRPr="00E03C53">
        <w:rPr>
          <w:lang w:val="en-GB"/>
        </w:rPr>
        <w:t>Hullenbusch</w:t>
      </w:r>
      <w:proofErr w:type="spellEnd"/>
      <w:r w:rsidR="005F4798" w:rsidRPr="00E03C53">
        <w:rPr>
          <w:lang w:val="en-GB"/>
        </w:rPr>
        <w:t xml:space="preserve"> et al., 2021) </w:t>
      </w:r>
      <w:r w:rsidR="00CE37F3" w:rsidRPr="00E03C53">
        <w:rPr>
          <w:lang w:val="en-GB"/>
        </w:rPr>
        <w:t>thus their</w:t>
      </w:r>
      <w:r w:rsidRPr="00E03C53">
        <w:rPr>
          <w:lang w:val="en-GB"/>
        </w:rPr>
        <w:t xml:space="preserve"> implementation needs to be promoted</w:t>
      </w:r>
      <w:r w:rsidR="00CE37F3" w:rsidRPr="00E03C53">
        <w:rPr>
          <w:lang w:val="en-GB"/>
        </w:rPr>
        <w:t xml:space="preserve"> and</w:t>
      </w:r>
      <w:r w:rsidRPr="00E03C53">
        <w:rPr>
          <w:lang w:val="en-GB"/>
        </w:rPr>
        <w:t xml:space="preserve"> the reuse of wastewater treatment products (i.e., water, nutrients, biomass) must be integrated in </w:t>
      </w:r>
      <w:r w:rsidR="005F4798" w:rsidRPr="00E03C53">
        <w:rPr>
          <w:lang w:val="en-GB"/>
        </w:rPr>
        <w:t xml:space="preserve">water and nutrient </w:t>
      </w:r>
      <w:r w:rsidRPr="00E03C53">
        <w:rPr>
          <w:lang w:val="en-GB"/>
        </w:rPr>
        <w:t xml:space="preserve">management </w:t>
      </w:r>
      <w:r w:rsidR="00CE37F3" w:rsidRPr="00E03C53">
        <w:rPr>
          <w:lang w:val="en-GB"/>
        </w:rPr>
        <w:t xml:space="preserve">in rural areas. </w:t>
      </w:r>
    </w:p>
    <w:p w14:paraId="3F945787" w14:textId="692E650A" w:rsidR="00201223" w:rsidRPr="00E03C53" w:rsidRDefault="00923D5B" w:rsidP="00E03C53">
      <w:pPr>
        <w:spacing w:after="120" w:line="240" w:lineRule="auto"/>
        <w:jc w:val="both"/>
        <w:rPr>
          <w:lang w:val="en-GB"/>
        </w:rPr>
      </w:pPr>
      <w:r w:rsidRPr="00E03C53">
        <w:rPr>
          <w:lang w:val="en-GB"/>
        </w:rPr>
        <w:t xml:space="preserve">The shift of </w:t>
      </w:r>
      <w:r w:rsidR="00201223" w:rsidRPr="00E03C53">
        <w:rPr>
          <w:lang w:val="en-GB"/>
        </w:rPr>
        <w:t>e</w:t>
      </w:r>
      <w:r w:rsidRPr="00E03C53">
        <w:rPr>
          <w:lang w:val="en-GB"/>
        </w:rPr>
        <w:t xml:space="preserve">xisting water management toward circularity can be achieved </w:t>
      </w:r>
      <w:r w:rsidR="00A031AB" w:rsidRPr="00E03C53">
        <w:rPr>
          <w:lang w:val="en-GB"/>
        </w:rPr>
        <w:t>by</w:t>
      </w:r>
      <w:r w:rsidR="00201223" w:rsidRPr="00E03C53">
        <w:rPr>
          <w:lang w:val="en-GB"/>
        </w:rPr>
        <w:t xml:space="preserve"> a</w:t>
      </w:r>
      <w:r w:rsidRPr="00E03C53">
        <w:rPr>
          <w:lang w:val="en-GB"/>
        </w:rPr>
        <w:t xml:space="preserve"> </w:t>
      </w:r>
      <w:r w:rsidR="00201223" w:rsidRPr="00E03C53">
        <w:rPr>
          <w:lang w:val="en-GB"/>
        </w:rPr>
        <w:t>variety</w:t>
      </w:r>
      <w:r w:rsidRPr="00E03C53">
        <w:rPr>
          <w:lang w:val="en-GB"/>
        </w:rPr>
        <w:t xml:space="preserve"> of approaches and technologies. </w:t>
      </w:r>
      <w:r w:rsidRPr="00E03C53">
        <w:rPr>
          <w:b/>
          <w:bCs/>
          <w:lang w:val="en-GB"/>
        </w:rPr>
        <w:t>Decentralized water reuse systems</w:t>
      </w:r>
      <w:r w:rsidRPr="00E03C53">
        <w:rPr>
          <w:lang w:val="en-GB"/>
        </w:rPr>
        <w:t xml:space="preserve"> can provide reclaimed water close to where wastewater is generated</w:t>
      </w:r>
      <w:r w:rsidR="00201223" w:rsidRPr="00E03C53">
        <w:rPr>
          <w:lang w:val="en-GB"/>
        </w:rPr>
        <w:t xml:space="preserve"> (Masi et al., 2021) and provide a sustainable solution for wastewater collection and treatment as well as water and nutrient reuse</w:t>
      </w:r>
      <w:r w:rsidRPr="00E03C53">
        <w:rPr>
          <w:lang w:val="en-GB"/>
        </w:rPr>
        <w:t xml:space="preserve">. </w:t>
      </w:r>
      <w:r w:rsidR="006B464D" w:rsidRPr="00E03C53">
        <w:rPr>
          <w:lang w:val="en-GB"/>
        </w:rPr>
        <w:t xml:space="preserve">European research and innovation projects show that </w:t>
      </w:r>
      <w:r w:rsidRPr="00E03C53">
        <w:rPr>
          <w:lang w:val="en-GB"/>
        </w:rPr>
        <w:t xml:space="preserve">NBS </w:t>
      </w:r>
      <w:r w:rsidR="006B464D" w:rsidRPr="00E03C53">
        <w:rPr>
          <w:lang w:val="en-GB"/>
        </w:rPr>
        <w:t>are</w:t>
      </w:r>
      <w:r w:rsidR="00201223" w:rsidRPr="00E03C53">
        <w:rPr>
          <w:lang w:val="en-GB"/>
        </w:rPr>
        <w:t xml:space="preserve"> </w:t>
      </w:r>
      <w:r w:rsidRPr="00E03C53">
        <w:rPr>
          <w:lang w:val="en-GB"/>
        </w:rPr>
        <w:t xml:space="preserve">one of the </w:t>
      </w:r>
      <w:r w:rsidR="00201223" w:rsidRPr="00E03C53">
        <w:rPr>
          <w:lang w:val="en-GB"/>
        </w:rPr>
        <w:t>most suitable</w:t>
      </w:r>
      <w:r w:rsidRPr="00E03C53">
        <w:rPr>
          <w:lang w:val="en-GB"/>
        </w:rPr>
        <w:t xml:space="preserve"> options for this purpose</w:t>
      </w:r>
      <w:r w:rsidR="006B464D" w:rsidRPr="00E03C53">
        <w:rPr>
          <w:lang w:val="en-GB"/>
        </w:rPr>
        <w:t xml:space="preserve"> (e.g., HYDROUSA)</w:t>
      </w:r>
      <w:r w:rsidRPr="00E03C53">
        <w:rPr>
          <w:lang w:val="en-GB"/>
        </w:rPr>
        <w:t xml:space="preserve">. </w:t>
      </w:r>
      <w:r w:rsidR="006B464D" w:rsidRPr="00E03C53">
        <w:rPr>
          <w:lang w:val="en-GB"/>
        </w:rPr>
        <w:t>However, t</w:t>
      </w:r>
      <w:r w:rsidRPr="00E03C53">
        <w:rPr>
          <w:lang w:val="en-GB"/>
        </w:rPr>
        <w:t xml:space="preserve">echnologies </w:t>
      </w:r>
      <w:r w:rsidR="00201223" w:rsidRPr="00E03C53">
        <w:rPr>
          <w:lang w:val="en-GB"/>
        </w:rPr>
        <w:t>such as</w:t>
      </w:r>
      <w:r w:rsidRPr="00E03C53">
        <w:rPr>
          <w:lang w:val="en-GB"/>
        </w:rPr>
        <w:t xml:space="preserve"> treatment wetlands, lagoons, </w:t>
      </w:r>
      <w:r w:rsidR="003002B9">
        <w:rPr>
          <w:lang w:val="en-GB"/>
        </w:rPr>
        <w:t xml:space="preserve">high-rate </w:t>
      </w:r>
      <w:r w:rsidRPr="00E03C53">
        <w:rPr>
          <w:lang w:val="en-GB"/>
        </w:rPr>
        <w:t xml:space="preserve">algae ponds, willow systems, and similar are </w:t>
      </w:r>
      <w:r w:rsidR="006B464D" w:rsidRPr="00E03C53">
        <w:rPr>
          <w:lang w:val="en-GB"/>
        </w:rPr>
        <w:t>currently</w:t>
      </w:r>
      <w:r w:rsidRPr="00E03C53">
        <w:rPr>
          <w:lang w:val="en-GB"/>
        </w:rPr>
        <w:t xml:space="preserve"> not recognized </w:t>
      </w:r>
      <w:r w:rsidR="006B464D" w:rsidRPr="00E03C53">
        <w:rPr>
          <w:lang w:val="en-GB"/>
        </w:rPr>
        <w:t xml:space="preserve">sufficiently </w:t>
      </w:r>
      <w:r w:rsidRPr="00E03C53">
        <w:rPr>
          <w:lang w:val="en-GB"/>
        </w:rPr>
        <w:t xml:space="preserve">by local authorities, water utilities, and </w:t>
      </w:r>
      <w:r w:rsidR="00201223" w:rsidRPr="00E03C53">
        <w:rPr>
          <w:lang w:val="en-GB"/>
        </w:rPr>
        <w:t xml:space="preserve">the </w:t>
      </w:r>
      <w:r w:rsidRPr="00E03C53">
        <w:rPr>
          <w:lang w:val="en-GB"/>
        </w:rPr>
        <w:t>public</w:t>
      </w:r>
      <w:r w:rsidR="006B464D" w:rsidRPr="00E03C53">
        <w:rPr>
          <w:lang w:val="en-GB"/>
        </w:rPr>
        <w:t xml:space="preserve"> and that needs to be changed in the future</w:t>
      </w:r>
      <w:r w:rsidRPr="00E03C53">
        <w:rPr>
          <w:lang w:val="en-GB"/>
        </w:rPr>
        <w:t>.</w:t>
      </w:r>
      <w:r w:rsidR="00F61E50" w:rsidRPr="00E03C53">
        <w:rPr>
          <w:lang w:val="en-GB"/>
        </w:rPr>
        <w:t xml:space="preserve"> </w:t>
      </w:r>
    </w:p>
    <w:p w14:paraId="6A89A525" w14:textId="436CA1C4" w:rsidR="00F61E50" w:rsidRPr="00E03C53" w:rsidRDefault="00F61E50" w:rsidP="00E03C53">
      <w:pPr>
        <w:spacing w:after="120" w:line="240" w:lineRule="auto"/>
        <w:jc w:val="both"/>
        <w:rPr>
          <w:lang w:val="en-GB"/>
        </w:rPr>
      </w:pPr>
      <w:r w:rsidRPr="00E03C53">
        <w:rPr>
          <w:lang w:val="en-GB"/>
        </w:rPr>
        <w:t>Decentralized wastewater treatment and reuse systems provide reclaimed water in th</w:t>
      </w:r>
      <w:r w:rsidR="00201223" w:rsidRPr="00E03C53">
        <w:rPr>
          <w:lang w:val="en-GB"/>
        </w:rPr>
        <w:t>e</w:t>
      </w:r>
      <w:r w:rsidR="00A25A7D" w:rsidRPr="00E03C53">
        <w:rPr>
          <w:lang w:val="en-GB"/>
        </w:rPr>
        <w:t xml:space="preserve">ir </w:t>
      </w:r>
      <w:r w:rsidR="00C46861" w:rsidRPr="00E03C53">
        <w:rPr>
          <w:lang w:val="en-GB"/>
        </w:rPr>
        <w:t>vicinity</w:t>
      </w:r>
      <w:r w:rsidR="00A25A7D" w:rsidRPr="00E03C53">
        <w:rPr>
          <w:lang w:val="en-GB"/>
        </w:rPr>
        <w:t xml:space="preserve">, </w:t>
      </w:r>
      <w:r w:rsidR="00C46861" w:rsidRPr="00E03C53">
        <w:rPr>
          <w:lang w:val="en-GB"/>
        </w:rPr>
        <w:t>meaning</w:t>
      </w:r>
      <w:r w:rsidR="00A25A7D" w:rsidRPr="00E03C53">
        <w:rPr>
          <w:lang w:val="en-GB"/>
        </w:rPr>
        <w:t xml:space="preserve"> </w:t>
      </w:r>
      <w:r w:rsidR="00C46861" w:rsidRPr="00E03C53">
        <w:rPr>
          <w:b/>
          <w:bCs/>
          <w:lang w:val="en-GB"/>
        </w:rPr>
        <w:t>locations where</w:t>
      </w:r>
      <w:r w:rsidR="00A25A7D" w:rsidRPr="00E03C53">
        <w:rPr>
          <w:b/>
          <w:bCs/>
          <w:lang w:val="en-GB"/>
        </w:rPr>
        <w:t xml:space="preserve"> wastewater </w:t>
      </w:r>
      <w:r w:rsidR="00C46861" w:rsidRPr="00E03C53">
        <w:rPr>
          <w:b/>
          <w:bCs/>
          <w:lang w:val="en-GB"/>
        </w:rPr>
        <w:t xml:space="preserve">is </w:t>
      </w:r>
      <w:r w:rsidR="00A25A7D" w:rsidRPr="00E03C53">
        <w:rPr>
          <w:b/>
          <w:bCs/>
          <w:lang w:val="en-GB"/>
        </w:rPr>
        <w:t>generat</w:t>
      </w:r>
      <w:r w:rsidR="00C46861" w:rsidRPr="00E03C53">
        <w:rPr>
          <w:b/>
          <w:bCs/>
          <w:lang w:val="en-GB"/>
        </w:rPr>
        <w:t>ed</w:t>
      </w:r>
      <w:r w:rsidR="00A25A7D" w:rsidRPr="00E03C53">
        <w:rPr>
          <w:b/>
          <w:bCs/>
          <w:lang w:val="en-GB"/>
        </w:rPr>
        <w:t xml:space="preserve"> and </w:t>
      </w:r>
      <w:r w:rsidR="00C46861" w:rsidRPr="00E03C53">
        <w:rPr>
          <w:b/>
          <w:bCs/>
          <w:lang w:val="en-GB"/>
        </w:rPr>
        <w:t xml:space="preserve">where </w:t>
      </w:r>
      <w:r w:rsidR="00A25A7D" w:rsidRPr="00E03C53">
        <w:rPr>
          <w:b/>
          <w:bCs/>
          <w:lang w:val="en-GB"/>
        </w:rPr>
        <w:t xml:space="preserve">reclaimed water </w:t>
      </w:r>
      <w:r w:rsidR="00C46861" w:rsidRPr="00E03C53">
        <w:rPr>
          <w:b/>
          <w:bCs/>
          <w:lang w:val="en-GB"/>
        </w:rPr>
        <w:t xml:space="preserve">is reused are </w:t>
      </w:r>
      <w:r w:rsidR="00E03C53">
        <w:rPr>
          <w:b/>
          <w:bCs/>
          <w:lang w:val="en-GB"/>
        </w:rPr>
        <w:t>close together</w:t>
      </w:r>
      <w:r w:rsidR="00A25A7D" w:rsidRPr="00E03C53">
        <w:rPr>
          <w:lang w:val="en-GB"/>
        </w:rPr>
        <w:t>, reduc</w:t>
      </w:r>
      <w:r w:rsidR="00C46861" w:rsidRPr="00E03C53">
        <w:rPr>
          <w:lang w:val="en-GB"/>
        </w:rPr>
        <w:t>ing</w:t>
      </w:r>
      <w:r w:rsidR="00A25A7D" w:rsidRPr="00E03C53">
        <w:rPr>
          <w:lang w:val="en-GB"/>
        </w:rPr>
        <w:t xml:space="preserve"> the cost of building new </w:t>
      </w:r>
      <w:r w:rsidR="00C46861" w:rsidRPr="00E03C53">
        <w:rPr>
          <w:lang w:val="en-GB"/>
        </w:rPr>
        <w:t>transportation</w:t>
      </w:r>
      <w:r w:rsidR="00A25A7D" w:rsidRPr="00E03C53">
        <w:rPr>
          <w:lang w:val="en-GB"/>
        </w:rPr>
        <w:t xml:space="preserve"> systems to bring reclaimed water from </w:t>
      </w:r>
      <w:r w:rsidR="00C46861" w:rsidRPr="00E03C53">
        <w:rPr>
          <w:lang w:val="en-GB"/>
        </w:rPr>
        <w:t xml:space="preserve">the </w:t>
      </w:r>
      <w:r w:rsidR="00A25A7D" w:rsidRPr="00E03C53">
        <w:rPr>
          <w:lang w:val="en-GB"/>
        </w:rPr>
        <w:t xml:space="preserve">central </w:t>
      </w:r>
      <w:r w:rsidR="00C46861" w:rsidRPr="00E03C53">
        <w:rPr>
          <w:lang w:val="en-GB"/>
        </w:rPr>
        <w:t>treatment plant</w:t>
      </w:r>
      <w:r w:rsidR="00A25A7D" w:rsidRPr="00E03C53">
        <w:rPr>
          <w:lang w:val="en-GB"/>
        </w:rPr>
        <w:t xml:space="preserve"> to </w:t>
      </w:r>
      <w:r w:rsidR="00C46861" w:rsidRPr="00E03C53">
        <w:rPr>
          <w:lang w:val="en-GB"/>
        </w:rPr>
        <w:t>the</w:t>
      </w:r>
      <w:r w:rsidR="00A25A7D" w:rsidRPr="00E03C53">
        <w:rPr>
          <w:lang w:val="en-GB"/>
        </w:rPr>
        <w:t xml:space="preserve"> reuse</w:t>
      </w:r>
      <w:r w:rsidR="00C46861" w:rsidRPr="00E03C53">
        <w:rPr>
          <w:lang w:val="en-GB"/>
        </w:rPr>
        <w:t xml:space="preserve"> locations</w:t>
      </w:r>
      <w:r w:rsidR="00A25A7D" w:rsidRPr="00E03C53">
        <w:rPr>
          <w:lang w:val="en-GB"/>
        </w:rPr>
        <w:t xml:space="preserve">. </w:t>
      </w:r>
      <w:r w:rsidR="006B464D" w:rsidRPr="00E03C53">
        <w:rPr>
          <w:lang w:val="en-GB"/>
        </w:rPr>
        <w:t>D</w:t>
      </w:r>
      <w:r w:rsidR="00A25A7D" w:rsidRPr="00E03C53">
        <w:rPr>
          <w:lang w:val="en-GB"/>
        </w:rPr>
        <w:t xml:space="preserve">ecentralized systems </w:t>
      </w:r>
      <w:r w:rsidR="00C46861" w:rsidRPr="00E03C53">
        <w:rPr>
          <w:lang w:val="en-GB"/>
        </w:rPr>
        <w:t>allow for</w:t>
      </w:r>
      <w:r w:rsidR="00A25A7D" w:rsidRPr="00E03C53">
        <w:rPr>
          <w:lang w:val="en-GB"/>
        </w:rPr>
        <w:t xml:space="preserve"> better </w:t>
      </w:r>
      <w:r w:rsidR="00A25A7D" w:rsidRPr="00E03C53">
        <w:rPr>
          <w:b/>
          <w:bCs/>
          <w:lang w:val="en-GB"/>
        </w:rPr>
        <w:t>source control</w:t>
      </w:r>
      <w:r w:rsidR="00A25A7D" w:rsidRPr="00E03C53">
        <w:rPr>
          <w:lang w:val="en-GB"/>
        </w:rPr>
        <w:t xml:space="preserve"> because they are smaller and </w:t>
      </w:r>
      <w:r w:rsidR="00C46861" w:rsidRPr="00E03C53">
        <w:rPr>
          <w:lang w:val="en-GB"/>
        </w:rPr>
        <w:t xml:space="preserve">contain </w:t>
      </w:r>
      <w:r w:rsidR="00E03C53">
        <w:rPr>
          <w:lang w:val="en-GB"/>
        </w:rPr>
        <w:t>mainly</w:t>
      </w:r>
      <w:r w:rsidR="00A25A7D" w:rsidRPr="00E03C53">
        <w:rPr>
          <w:lang w:val="en-GB"/>
        </w:rPr>
        <w:t xml:space="preserve"> pure domestic wastewater </w:t>
      </w:r>
      <w:r w:rsidR="00C46861" w:rsidRPr="00E03C53">
        <w:rPr>
          <w:lang w:val="en-GB"/>
        </w:rPr>
        <w:t>that is not</w:t>
      </w:r>
      <w:r w:rsidR="00A25A7D" w:rsidRPr="00E03C53">
        <w:rPr>
          <w:lang w:val="en-GB"/>
        </w:rPr>
        <w:t xml:space="preserve"> mixed with industrial</w:t>
      </w:r>
      <w:r w:rsidR="00C46861" w:rsidRPr="00E03C53">
        <w:rPr>
          <w:lang w:val="en-GB"/>
        </w:rPr>
        <w:t xml:space="preserve"> wastewater</w:t>
      </w:r>
      <w:r w:rsidR="00A25A7D" w:rsidRPr="00E03C53">
        <w:rPr>
          <w:lang w:val="en-GB"/>
        </w:rPr>
        <w:t xml:space="preserve">. Consequently, the potential for safe reuse of water and nutrients is higher. </w:t>
      </w:r>
      <w:r w:rsidR="00E03C53">
        <w:rPr>
          <w:lang w:val="en-GB"/>
        </w:rPr>
        <w:t>Furthermore</w:t>
      </w:r>
      <w:r w:rsidR="00A25A7D" w:rsidRPr="00E03C53">
        <w:rPr>
          <w:lang w:val="en-GB"/>
        </w:rPr>
        <w:t xml:space="preserve">, </w:t>
      </w:r>
      <w:r w:rsidR="00627C62">
        <w:rPr>
          <w:lang w:val="en-GB"/>
        </w:rPr>
        <w:t>NBS can be implemented as green infrastructure and their use</w:t>
      </w:r>
      <w:r w:rsidR="00A25A7D" w:rsidRPr="00E03C53">
        <w:rPr>
          <w:lang w:val="en-GB"/>
        </w:rPr>
        <w:t xml:space="preserve"> </w:t>
      </w:r>
      <w:r w:rsidR="00562460" w:rsidRPr="00E03C53">
        <w:rPr>
          <w:lang w:val="en-GB"/>
        </w:rPr>
        <w:t>provides</w:t>
      </w:r>
      <w:r w:rsidR="00A25A7D" w:rsidRPr="00E03C53">
        <w:rPr>
          <w:lang w:val="en-GB"/>
        </w:rPr>
        <w:t xml:space="preserve"> numerous </w:t>
      </w:r>
      <w:r w:rsidR="00A25A7D" w:rsidRPr="00E03C53">
        <w:rPr>
          <w:b/>
          <w:bCs/>
          <w:lang w:val="en-GB"/>
        </w:rPr>
        <w:t>co-benefits</w:t>
      </w:r>
      <w:r w:rsidR="00A25A7D" w:rsidRPr="00E03C53">
        <w:rPr>
          <w:lang w:val="en-GB"/>
        </w:rPr>
        <w:t xml:space="preserve"> </w:t>
      </w:r>
      <w:r w:rsidR="00562460" w:rsidRPr="00E03C53">
        <w:rPr>
          <w:lang w:val="en-GB"/>
        </w:rPr>
        <w:t>besides</w:t>
      </w:r>
      <w:r w:rsidR="00A25A7D" w:rsidRPr="00E03C53">
        <w:rPr>
          <w:lang w:val="en-GB"/>
        </w:rPr>
        <w:t xml:space="preserve"> water treatment</w:t>
      </w:r>
      <w:r w:rsidR="00E03C53">
        <w:rPr>
          <w:lang w:val="en-GB"/>
        </w:rPr>
        <w:t>,</w:t>
      </w:r>
      <w:r w:rsidR="006B464D" w:rsidRPr="00E03C53">
        <w:rPr>
          <w:lang w:val="en-GB"/>
        </w:rPr>
        <w:t xml:space="preserve"> such as microclimate mitigation, </w:t>
      </w:r>
      <w:r w:rsidR="003002B9">
        <w:rPr>
          <w:lang w:val="en-GB"/>
        </w:rPr>
        <w:t xml:space="preserve">water retention, carbon sequestration, </w:t>
      </w:r>
      <w:r w:rsidR="006B464D" w:rsidRPr="00E03C53">
        <w:rPr>
          <w:lang w:val="en-GB"/>
        </w:rPr>
        <w:t>biodiversity</w:t>
      </w:r>
      <w:r w:rsidR="00E03C53">
        <w:rPr>
          <w:lang w:val="en-GB"/>
        </w:rPr>
        <w:t>,</w:t>
      </w:r>
      <w:r w:rsidR="006B464D" w:rsidRPr="00E03C53">
        <w:rPr>
          <w:lang w:val="en-GB"/>
        </w:rPr>
        <w:t xml:space="preserve"> and wellbeing</w:t>
      </w:r>
      <w:r w:rsidR="00A25A7D" w:rsidRPr="00E03C53">
        <w:rPr>
          <w:lang w:val="en-GB"/>
        </w:rPr>
        <w:t>.</w:t>
      </w:r>
    </w:p>
    <w:p w14:paraId="4676265E" w14:textId="3B148D09" w:rsidR="00A25A7D" w:rsidRPr="00E03C53" w:rsidRDefault="00A25A7D" w:rsidP="00E03C53">
      <w:pPr>
        <w:spacing w:after="120" w:line="240" w:lineRule="auto"/>
        <w:jc w:val="both"/>
        <w:rPr>
          <w:lang w:val="en-GB"/>
        </w:rPr>
      </w:pPr>
      <w:r w:rsidRPr="00E03C53">
        <w:rPr>
          <w:lang w:val="en-GB"/>
        </w:rPr>
        <w:t xml:space="preserve">Decentralized solutions can be coupled with </w:t>
      </w:r>
      <w:r w:rsidRPr="00E03C53">
        <w:rPr>
          <w:b/>
          <w:bCs/>
          <w:lang w:val="en-GB"/>
        </w:rPr>
        <w:t>source separation</w:t>
      </w:r>
      <w:r w:rsidR="00562460" w:rsidRPr="00E03C53">
        <w:rPr>
          <w:lang w:val="en-GB"/>
        </w:rPr>
        <w:t>, making</w:t>
      </w:r>
      <w:r w:rsidRPr="00E03C53">
        <w:rPr>
          <w:lang w:val="en-GB"/>
        </w:rPr>
        <w:t xml:space="preserve"> </w:t>
      </w:r>
      <w:r w:rsidR="00B871A3">
        <w:rPr>
          <w:lang w:val="en-GB"/>
        </w:rPr>
        <w:t xml:space="preserve">the </w:t>
      </w:r>
      <w:r w:rsidRPr="00E03C53">
        <w:rPr>
          <w:lang w:val="en-GB"/>
        </w:rPr>
        <w:t>recovery of nutrients, organics, energy, and water more efficient compared to centralized systems. Domestic wastewater can be separated by coll</w:t>
      </w:r>
      <w:r w:rsidR="00562460" w:rsidRPr="00E03C53">
        <w:rPr>
          <w:lang w:val="en-GB"/>
        </w:rPr>
        <w:t>ec</w:t>
      </w:r>
      <w:r w:rsidRPr="00E03C53">
        <w:rPr>
          <w:lang w:val="en-GB"/>
        </w:rPr>
        <w:t>ting greywater, blackwater</w:t>
      </w:r>
      <w:r w:rsidR="00562460" w:rsidRPr="00E03C53">
        <w:rPr>
          <w:lang w:val="en-GB"/>
        </w:rPr>
        <w:t>,</w:t>
      </w:r>
      <w:r w:rsidRPr="00E03C53">
        <w:rPr>
          <w:lang w:val="en-GB"/>
        </w:rPr>
        <w:t xml:space="preserve"> a</w:t>
      </w:r>
      <w:r w:rsidR="002B7C25" w:rsidRPr="00E03C53">
        <w:rPr>
          <w:lang w:val="en-GB"/>
        </w:rPr>
        <w:t>nd</w:t>
      </w:r>
      <w:r w:rsidRPr="00E03C53">
        <w:rPr>
          <w:lang w:val="en-GB"/>
        </w:rPr>
        <w:t xml:space="preserve"> urine.</w:t>
      </w:r>
      <w:r w:rsidR="002B7C25" w:rsidRPr="00E03C53">
        <w:rPr>
          <w:lang w:val="en-GB"/>
        </w:rPr>
        <w:t xml:space="preserve"> Greywater can be treated with NBS. In domestic wastewater, urine </w:t>
      </w:r>
      <w:r w:rsidR="00562460" w:rsidRPr="00E03C53">
        <w:rPr>
          <w:lang w:val="en-GB"/>
        </w:rPr>
        <w:t>accounts for</w:t>
      </w:r>
      <w:r w:rsidR="002B7C25" w:rsidRPr="00E03C53">
        <w:rPr>
          <w:lang w:val="en-GB"/>
        </w:rPr>
        <w:t xml:space="preserve"> 80% of </w:t>
      </w:r>
      <w:r w:rsidR="00562460" w:rsidRPr="00E03C53">
        <w:rPr>
          <w:lang w:val="en-GB"/>
        </w:rPr>
        <w:t xml:space="preserve">the </w:t>
      </w:r>
      <w:r w:rsidR="002B7C25" w:rsidRPr="00E03C53">
        <w:rPr>
          <w:lang w:val="en-GB"/>
        </w:rPr>
        <w:t xml:space="preserve">nitrogen, 55% of </w:t>
      </w:r>
      <w:r w:rsidR="00562460" w:rsidRPr="00E03C53">
        <w:rPr>
          <w:lang w:val="en-GB"/>
        </w:rPr>
        <w:t xml:space="preserve">the </w:t>
      </w:r>
      <w:r w:rsidR="002B7C25" w:rsidRPr="00E03C53">
        <w:rPr>
          <w:lang w:val="en-GB"/>
        </w:rPr>
        <w:t xml:space="preserve">phosphorous and 60% of </w:t>
      </w:r>
      <w:r w:rsidR="00562460" w:rsidRPr="00E03C53">
        <w:rPr>
          <w:lang w:val="en-GB"/>
        </w:rPr>
        <w:lastRenderedPageBreak/>
        <w:t xml:space="preserve">the </w:t>
      </w:r>
      <w:r w:rsidR="002B7C25" w:rsidRPr="00E03C53">
        <w:rPr>
          <w:lang w:val="en-GB"/>
        </w:rPr>
        <w:t>potassium</w:t>
      </w:r>
      <w:r w:rsidR="00562460" w:rsidRPr="00E03C53">
        <w:rPr>
          <w:lang w:val="en-GB"/>
        </w:rPr>
        <w:t>,</w:t>
      </w:r>
      <w:r w:rsidR="002B7C25" w:rsidRPr="00E03C53">
        <w:rPr>
          <w:lang w:val="en-GB"/>
        </w:rPr>
        <w:t xml:space="preserve"> but only 1% of </w:t>
      </w:r>
      <w:r w:rsidR="00562460" w:rsidRPr="00E03C53">
        <w:rPr>
          <w:lang w:val="en-GB"/>
        </w:rPr>
        <w:t xml:space="preserve">the </w:t>
      </w:r>
      <w:r w:rsidR="002B7C25" w:rsidRPr="00E03C53">
        <w:rPr>
          <w:lang w:val="en-GB"/>
        </w:rPr>
        <w:t>total wastewater volume. Therefore</w:t>
      </w:r>
      <w:r w:rsidR="00562460" w:rsidRPr="00E03C53">
        <w:rPr>
          <w:lang w:val="en-GB"/>
        </w:rPr>
        <w:t>,</w:t>
      </w:r>
      <w:r w:rsidR="002B7C25" w:rsidRPr="00E03C53">
        <w:rPr>
          <w:lang w:val="en-GB"/>
        </w:rPr>
        <w:t xml:space="preserve"> if urine is separated at </w:t>
      </w:r>
      <w:r w:rsidR="00562460" w:rsidRPr="00E03C53">
        <w:rPr>
          <w:lang w:val="en-GB"/>
        </w:rPr>
        <w:t>the</w:t>
      </w:r>
      <w:r w:rsidR="002B7C25" w:rsidRPr="00E03C53">
        <w:rPr>
          <w:lang w:val="en-GB"/>
        </w:rPr>
        <w:t xml:space="preserve"> source, the </w:t>
      </w:r>
      <w:r w:rsidR="00562460" w:rsidRPr="00E03C53">
        <w:rPr>
          <w:lang w:val="en-GB"/>
        </w:rPr>
        <w:t xml:space="preserve">NPK </w:t>
      </w:r>
      <w:r w:rsidR="002B7C25" w:rsidRPr="00E03C53">
        <w:rPr>
          <w:lang w:val="en-GB"/>
        </w:rPr>
        <w:t>recovery is easier.</w:t>
      </w:r>
    </w:p>
    <w:p w14:paraId="1011451E" w14:textId="229A6F38" w:rsidR="006B464D" w:rsidRPr="00E03C53" w:rsidRDefault="006B464D" w:rsidP="00E03C53">
      <w:pPr>
        <w:spacing w:after="120" w:line="240" w:lineRule="auto"/>
        <w:jc w:val="both"/>
        <w:rPr>
          <w:rFonts w:eastAsia="Times New Roman"/>
          <w:b/>
          <w:bCs/>
          <w:i/>
          <w:iCs/>
          <w:lang w:val="en-GB"/>
        </w:rPr>
      </w:pPr>
      <w:r w:rsidRPr="00E03C53">
        <w:rPr>
          <w:rFonts w:eastAsia="Times New Roman"/>
          <w:b/>
          <w:bCs/>
          <w:i/>
          <w:iCs/>
          <w:lang w:val="en-GB"/>
        </w:rPr>
        <w:t xml:space="preserve">GWP CEE </w:t>
      </w:r>
      <w:r w:rsidR="00B871A3">
        <w:rPr>
          <w:rFonts w:eastAsia="Times New Roman"/>
          <w:b/>
          <w:bCs/>
          <w:i/>
          <w:iCs/>
          <w:lang w:val="en-GB"/>
        </w:rPr>
        <w:t>asserts</w:t>
      </w:r>
      <w:r w:rsidRPr="00E03C53">
        <w:rPr>
          <w:rFonts w:eastAsia="Times New Roman"/>
          <w:b/>
          <w:bCs/>
          <w:i/>
          <w:iCs/>
          <w:lang w:val="en-GB"/>
        </w:rPr>
        <w:t xml:space="preserve"> that nature-based solutions should be integrated in</w:t>
      </w:r>
      <w:r w:rsidR="00B871A3">
        <w:rPr>
          <w:rFonts w:eastAsia="Times New Roman"/>
          <w:b/>
          <w:bCs/>
          <w:i/>
          <w:iCs/>
          <w:lang w:val="en-GB"/>
        </w:rPr>
        <w:t>to</w:t>
      </w:r>
      <w:r w:rsidRPr="00E03C53">
        <w:rPr>
          <w:rFonts w:eastAsia="Times New Roman"/>
          <w:b/>
          <w:bCs/>
          <w:i/>
          <w:iCs/>
          <w:lang w:val="en-GB"/>
        </w:rPr>
        <w:t xml:space="preserve"> nutrient management </w:t>
      </w:r>
      <w:r w:rsidR="00E03C53" w:rsidRPr="00E03C53">
        <w:rPr>
          <w:rFonts w:eastAsia="Times New Roman"/>
          <w:b/>
          <w:bCs/>
          <w:i/>
          <w:iCs/>
          <w:lang w:val="en-GB"/>
        </w:rPr>
        <w:t xml:space="preserve">and that it is </w:t>
      </w:r>
      <w:r w:rsidR="00B871A3">
        <w:rPr>
          <w:rFonts w:eastAsia="Times New Roman"/>
          <w:b/>
          <w:bCs/>
          <w:i/>
          <w:iCs/>
          <w:lang w:val="en-GB"/>
        </w:rPr>
        <w:t>paramount that the</w:t>
      </w:r>
      <w:r w:rsidRPr="00E03C53">
        <w:rPr>
          <w:rFonts w:eastAsia="Times New Roman"/>
          <w:b/>
          <w:bCs/>
          <w:i/>
          <w:iCs/>
          <w:lang w:val="en-GB"/>
        </w:rPr>
        <w:t xml:space="preserve"> current ina</w:t>
      </w:r>
      <w:r w:rsidR="00B871A3">
        <w:rPr>
          <w:rFonts w:eastAsia="Times New Roman"/>
          <w:b/>
          <w:bCs/>
          <w:i/>
          <w:iCs/>
          <w:lang w:val="en-GB"/>
        </w:rPr>
        <w:t>dequate</w:t>
      </w:r>
      <w:r w:rsidRPr="00E03C53">
        <w:rPr>
          <w:rFonts w:eastAsia="Times New Roman"/>
          <w:b/>
          <w:bCs/>
          <w:i/>
          <w:iCs/>
          <w:lang w:val="en-GB"/>
        </w:rPr>
        <w:t xml:space="preserve"> wastewater collection and treatment </w:t>
      </w:r>
      <w:r w:rsidR="00E03C53" w:rsidRPr="00E03C53">
        <w:rPr>
          <w:rFonts w:eastAsia="Times New Roman"/>
          <w:b/>
          <w:bCs/>
          <w:i/>
          <w:iCs/>
          <w:lang w:val="en-GB"/>
        </w:rPr>
        <w:t>in rural areas is bind with</w:t>
      </w:r>
      <w:r w:rsidRPr="00E03C53">
        <w:rPr>
          <w:rFonts w:eastAsia="Times New Roman"/>
          <w:b/>
          <w:bCs/>
          <w:i/>
          <w:iCs/>
          <w:lang w:val="en-GB"/>
        </w:rPr>
        <w:t xml:space="preserve"> </w:t>
      </w:r>
      <w:r w:rsidR="00B871A3">
        <w:rPr>
          <w:rFonts w:eastAsia="Times New Roman"/>
          <w:b/>
          <w:bCs/>
          <w:i/>
          <w:iCs/>
          <w:lang w:val="en-GB"/>
        </w:rPr>
        <w:t xml:space="preserve">the </w:t>
      </w:r>
      <w:r w:rsidRPr="00E03C53">
        <w:rPr>
          <w:rFonts w:eastAsia="Times New Roman"/>
          <w:b/>
          <w:bCs/>
          <w:i/>
          <w:iCs/>
          <w:lang w:val="en-GB"/>
        </w:rPr>
        <w:t>lack of water and nutrients in agriculture</w:t>
      </w:r>
      <w:r w:rsidR="00E03C53" w:rsidRPr="00E03C53">
        <w:rPr>
          <w:rFonts w:eastAsia="Times New Roman"/>
          <w:b/>
          <w:bCs/>
          <w:i/>
          <w:iCs/>
          <w:lang w:val="en-GB"/>
        </w:rPr>
        <w:t xml:space="preserve"> in </w:t>
      </w:r>
      <w:r w:rsidR="00B871A3">
        <w:rPr>
          <w:rFonts w:eastAsia="Times New Roman"/>
          <w:b/>
          <w:bCs/>
          <w:i/>
          <w:iCs/>
          <w:lang w:val="en-GB"/>
        </w:rPr>
        <w:t>the immediate vicinity</w:t>
      </w:r>
      <w:r w:rsidRPr="00E03C53">
        <w:rPr>
          <w:rFonts w:eastAsia="Times New Roman"/>
          <w:b/>
          <w:bCs/>
          <w:i/>
          <w:iCs/>
          <w:lang w:val="en-GB"/>
        </w:rPr>
        <w:t xml:space="preserve">. </w:t>
      </w:r>
    </w:p>
    <w:p w14:paraId="2E658DA9" w14:textId="18274A91" w:rsidR="00562460" w:rsidRDefault="00562460" w:rsidP="00AF0D44">
      <w:pPr>
        <w:pBdr>
          <w:bottom w:val="single" w:sz="4" w:space="1" w:color="auto"/>
        </w:pBdr>
        <w:spacing w:after="120" w:line="240" w:lineRule="auto"/>
        <w:rPr>
          <w:lang w:val="en-GB"/>
        </w:rPr>
      </w:pPr>
    </w:p>
    <w:p w14:paraId="36646BE0" w14:textId="458B49FD" w:rsidR="00E03C53" w:rsidRDefault="00E03C53" w:rsidP="00AF0D44">
      <w:pPr>
        <w:pBdr>
          <w:bottom w:val="single" w:sz="4" w:space="1" w:color="auto"/>
        </w:pBdr>
        <w:spacing w:after="120" w:line="240" w:lineRule="auto"/>
        <w:rPr>
          <w:lang w:val="en-GB"/>
        </w:rPr>
      </w:pPr>
    </w:p>
    <w:p w14:paraId="0BA2520B" w14:textId="77777777" w:rsidR="00E03C53" w:rsidRPr="00E03C53" w:rsidRDefault="00E03C53" w:rsidP="00AF0D44">
      <w:pPr>
        <w:pBdr>
          <w:bottom w:val="single" w:sz="4" w:space="1" w:color="auto"/>
        </w:pBdr>
        <w:spacing w:after="120" w:line="240" w:lineRule="auto"/>
        <w:rPr>
          <w:lang w:val="en-GB"/>
        </w:rPr>
      </w:pPr>
    </w:p>
    <w:p w14:paraId="1639CC05" w14:textId="5F0CF3BF" w:rsidR="00B871A3" w:rsidRDefault="00B871A3" w:rsidP="00AF0D44">
      <w:pPr>
        <w:pStyle w:val="Default"/>
        <w:spacing w:after="120"/>
        <w:rPr>
          <w:rFonts w:asciiTheme="minorHAnsi" w:hAnsiTheme="minorHAnsi" w:cstheme="minorHAnsi"/>
          <w:sz w:val="22"/>
          <w:szCs w:val="22"/>
          <w:lang w:val="en-GB"/>
        </w:rPr>
      </w:pPr>
      <w:r>
        <w:rPr>
          <w:rFonts w:asciiTheme="minorHAnsi" w:hAnsiTheme="minorHAnsi" w:cstheme="minorHAnsi"/>
          <w:sz w:val="22"/>
          <w:szCs w:val="22"/>
          <w:lang w:val="en-GB"/>
        </w:rPr>
        <w:t>Cited sources:</w:t>
      </w:r>
    </w:p>
    <w:p w14:paraId="05C21D6C" w14:textId="19A97D54" w:rsidR="00562460" w:rsidRPr="00E03C53" w:rsidRDefault="005F4798" w:rsidP="00AF0D44">
      <w:pPr>
        <w:pStyle w:val="Default"/>
        <w:spacing w:after="120"/>
        <w:rPr>
          <w:rFonts w:asciiTheme="minorHAnsi" w:hAnsiTheme="minorHAnsi" w:cstheme="minorHAnsi"/>
          <w:sz w:val="22"/>
          <w:szCs w:val="22"/>
          <w:lang w:val="en-GB"/>
        </w:rPr>
      </w:pPr>
      <w:r w:rsidRPr="00E03C53">
        <w:rPr>
          <w:rFonts w:asciiTheme="minorHAnsi" w:hAnsiTheme="minorHAnsi" w:cstheme="minorHAnsi"/>
          <w:sz w:val="22"/>
          <w:szCs w:val="22"/>
          <w:lang w:val="en-GB"/>
        </w:rPr>
        <w:t>Istenič</w:t>
      </w:r>
      <w:r w:rsidR="00562460" w:rsidRPr="00E03C53">
        <w:rPr>
          <w:rFonts w:asciiTheme="minorHAnsi" w:hAnsiTheme="minorHAnsi" w:cstheme="minorHAnsi"/>
          <w:sz w:val="22"/>
          <w:szCs w:val="22"/>
          <w:lang w:val="en-GB"/>
        </w:rPr>
        <w:t xml:space="preserve">, D., </w:t>
      </w:r>
      <w:proofErr w:type="spellStart"/>
      <w:r w:rsidR="00562460" w:rsidRPr="00E03C53">
        <w:rPr>
          <w:rFonts w:asciiTheme="minorHAnsi" w:hAnsiTheme="minorHAnsi" w:cstheme="minorHAnsi"/>
          <w:sz w:val="22"/>
          <w:szCs w:val="22"/>
          <w:lang w:val="en-GB"/>
        </w:rPr>
        <w:t>Bodik</w:t>
      </w:r>
      <w:proofErr w:type="spellEnd"/>
      <w:r w:rsidR="00562460" w:rsidRPr="00E03C53">
        <w:rPr>
          <w:rFonts w:asciiTheme="minorHAnsi" w:hAnsiTheme="minorHAnsi" w:cstheme="minorHAnsi"/>
          <w:sz w:val="22"/>
          <w:szCs w:val="22"/>
          <w:lang w:val="en-GB"/>
        </w:rPr>
        <w:t xml:space="preserve">, I., Gajewska, M., </w:t>
      </w:r>
      <w:proofErr w:type="spellStart"/>
      <w:r w:rsidR="00562460" w:rsidRPr="00E03C53">
        <w:rPr>
          <w:rFonts w:asciiTheme="minorHAnsi" w:hAnsiTheme="minorHAnsi" w:cstheme="minorHAnsi"/>
          <w:sz w:val="22"/>
          <w:szCs w:val="22"/>
          <w:lang w:val="en-GB"/>
        </w:rPr>
        <w:t>Merissar</w:t>
      </w:r>
      <w:proofErr w:type="spellEnd"/>
      <w:r w:rsidR="00562460" w:rsidRPr="00E03C53">
        <w:rPr>
          <w:rFonts w:asciiTheme="minorHAnsi" w:hAnsiTheme="minorHAnsi" w:cstheme="minorHAnsi"/>
          <w:sz w:val="22"/>
          <w:szCs w:val="22"/>
          <w:lang w:val="en-GB"/>
        </w:rPr>
        <w:t>, M., Mubi Zalaznik, A.</w:t>
      </w:r>
      <w:r w:rsidRPr="00E03C53">
        <w:rPr>
          <w:rFonts w:asciiTheme="minorHAnsi" w:hAnsiTheme="minorHAnsi" w:cstheme="minorHAnsi"/>
          <w:sz w:val="22"/>
          <w:szCs w:val="22"/>
          <w:lang w:val="en-GB"/>
        </w:rPr>
        <w:t xml:space="preserve"> 2021</w:t>
      </w:r>
      <w:r w:rsidR="00ED506C" w:rsidRPr="00E03C53">
        <w:rPr>
          <w:rFonts w:asciiTheme="minorHAnsi" w:hAnsiTheme="minorHAnsi" w:cstheme="minorHAnsi"/>
          <w:sz w:val="22"/>
          <w:szCs w:val="22"/>
          <w:lang w:val="en-GB"/>
        </w:rPr>
        <w:t>.</w:t>
      </w:r>
      <w:r w:rsidRPr="00E03C53">
        <w:rPr>
          <w:rFonts w:asciiTheme="minorHAnsi" w:hAnsiTheme="minorHAnsi" w:cstheme="minorHAnsi"/>
          <w:sz w:val="22"/>
          <w:szCs w:val="22"/>
          <w:lang w:val="en-GB"/>
        </w:rPr>
        <w:t xml:space="preserve"> Wastewater collection, treatment, and reuse in rural areas of Central and Eastern Europe</w:t>
      </w:r>
      <w:r w:rsidR="00562460" w:rsidRPr="00E03C53">
        <w:rPr>
          <w:rFonts w:asciiTheme="minorHAnsi" w:hAnsiTheme="minorHAnsi" w:cstheme="minorHAnsi"/>
          <w:sz w:val="22"/>
          <w:szCs w:val="22"/>
          <w:lang w:val="en-GB"/>
        </w:rPr>
        <w:t xml:space="preserve">; </w:t>
      </w:r>
      <w:r w:rsidRPr="00E03C53">
        <w:rPr>
          <w:rFonts w:asciiTheme="minorHAnsi" w:hAnsiTheme="minorHAnsi" w:cstheme="minorHAnsi"/>
          <w:sz w:val="22"/>
          <w:szCs w:val="22"/>
          <w:lang w:val="en-GB"/>
        </w:rPr>
        <w:t>Report of the Sustainable Sanitation Task Force</w:t>
      </w:r>
      <w:r w:rsidR="00562460" w:rsidRPr="00E03C53">
        <w:rPr>
          <w:rFonts w:asciiTheme="minorHAnsi" w:hAnsiTheme="minorHAnsi" w:cstheme="minorHAnsi"/>
          <w:sz w:val="22"/>
          <w:szCs w:val="22"/>
          <w:lang w:val="en-GB"/>
        </w:rPr>
        <w:t xml:space="preserve">. Global Water Partnership Central and Eastern Europe, 2021. </w:t>
      </w:r>
    </w:p>
    <w:p w14:paraId="12B76985" w14:textId="356B495D" w:rsidR="005F4798" w:rsidRPr="00E03C53" w:rsidRDefault="005F4798" w:rsidP="00AF0D44">
      <w:pPr>
        <w:pStyle w:val="Heading2"/>
        <w:spacing w:before="0" w:beforeAutospacing="0" w:after="120" w:afterAutospacing="0"/>
        <w:rPr>
          <w:rFonts w:asciiTheme="minorHAnsi" w:eastAsiaTheme="minorHAnsi" w:hAnsiTheme="minorHAnsi" w:cstheme="minorHAnsi"/>
          <w:b w:val="0"/>
          <w:bCs w:val="0"/>
          <w:color w:val="000000"/>
          <w:sz w:val="22"/>
          <w:szCs w:val="22"/>
          <w:lang w:val="en-GB" w:eastAsia="en-US"/>
        </w:rPr>
      </w:pPr>
      <w:r w:rsidRPr="00E03C53">
        <w:rPr>
          <w:rFonts w:asciiTheme="minorHAnsi" w:eastAsiaTheme="minorHAnsi" w:hAnsiTheme="minorHAnsi" w:cstheme="minorHAnsi"/>
          <w:b w:val="0"/>
          <w:bCs w:val="0"/>
          <w:color w:val="000000"/>
          <w:sz w:val="22"/>
          <w:szCs w:val="22"/>
          <w:lang w:val="en-GB" w:eastAsia="en-US"/>
        </w:rPr>
        <w:t>Masi</w:t>
      </w:r>
      <w:r w:rsidR="00ED506C" w:rsidRPr="00E03C53">
        <w:rPr>
          <w:rFonts w:asciiTheme="minorHAnsi" w:eastAsiaTheme="minorHAnsi" w:hAnsiTheme="minorHAnsi" w:cstheme="minorHAnsi"/>
          <w:b w:val="0"/>
          <w:bCs w:val="0"/>
          <w:color w:val="000000"/>
          <w:sz w:val="22"/>
          <w:szCs w:val="22"/>
          <w:lang w:val="en-GB" w:eastAsia="en-US"/>
        </w:rPr>
        <w:t xml:space="preserve">, F., Langergraber, G., </w:t>
      </w:r>
      <w:proofErr w:type="spellStart"/>
      <w:r w:rsidR="00ED506C" w:rsidRPr="00E03C53">
        <w:rPr>
          <w:rFonts w:asciiTheme="minorHAnsi" w:eastAsiaTheme="minorHAnsi" w:hAnsiTheme="minorHAnsi" w:cstheme="minorHAnsi"/>
          <w:b w:val="0"/>
          <w:bCs w:val="0"/>
          <w:color w:val="000000"/>
          <w:sz w:val="22"/>
          <w:szCs w:val="22"/>
          <w:lang w:val="en-GB" w:eastAsia="en-US"/>
        </w:rPr>
        <w:t>Santoni</w:t>
      </w:r>
      <w:proofErr w:type="spellEnd"/>
      <w:r w:rsidR="00ED506C" w:rsidRPr="00E03C53">
        <w:rPr>
          <w:rFonts w:asciiTheme="minorHAnsi" w:eastAsiaTheme="minorHAnsi" w:hAnsiTheme="minorHAnsi" w:cstheme="minorHAnsi"/>
          <w:b w:val="0"/>
          <w:bCs w:val="0"/>
          <w:color w:val="000000"/>
          <w:sz w:val="22"/>
          <w:szCs w:val="22"/>
          <w:lang w:val="en-GB" w:eastAsia="en-US"/>
        </w:rPr>
        <w:t xml:space="preserve">, M., Istenič, D., Atanasova, N., Buttiglieri, G. </w:t>
      </w:r>
      <w:r w:rsidRPr="00E03C53">
        <w:rPr>
          <w:rFonts w:asciiTheme="minorHAnsi" w:eastAsiaTheme="minorHAnsi" w:hAnsiTheme="minorHAnsi" w:cstheme="minorHAnsi"/>
          <w:b w:val="0"/>
          <w:bCs w:val="0"/>
          <w:color w:val="000000"/>
          <w:sz w:val="22"/>
          <w:szCs w:val="22"/>
          <w:lang w:val="en-GB" w:eastAsia="en-US"/>
        </w:rPr>
        <w:t>2021</w:t>
      </w:r>
      <w:r w:rsidR="00ED506C" w:rsidRPr="00E03C53">
        <w:rPr>
          <w:rFonts w:asciiTheme="minorHAnsi" w:eastAsiaTheme="minorHAnsi" w:hAnsiTheme="minorHAnsi" w:cstheme="minorHAnsi"/>
          <w:b w:val="0"/>
          <w:bCs w:val="0"/>
          <w:color w:val="000000"/>
          <w:sz w:val="22"/>
          <w:szCs w:val="22"/>
          <w:lang w:val="en-GB" w:eastAsia="en-US"/>
        </w:rPr>
        <w:t xml:space="preserve">. Possibilities of nature-based solutions and hybrid decentralized solutions for reclaimed water reuse. In: </w:t>
      </w:r>
      <w:hyperlink r:id="rId4" w:tooltip="Go to Advances in Chemical Pollution, Environmental Management and Protection on ScienceDirect" w:history="1">
        <w:r w:rsidR="00ED506C" w:rsidRPr="00E03C53">
          <w:rPr>
            <w:rFonts w:asciiTheme="minorHAnsi" w:eastAsiaTheme="minorHAnsi" w:hAnsiTheme="minorHAnsi" w:cstheme="minorHAnsi"/>
            <w:b w:val="0"/>
            <w:bCs w:val="0"/>
            <w:color w:val="000000"/>
            <w:sz w:val="22"/>
            <w:szCs w:val="22"/>
            <w:lang w:val="en-GB" w:eastAsia="en-US"/>
          </w:rPr>
          <w:t>Advances in Chemical Pollution, Environmental Management and Protection</w:t>
        </w:r>
      </w:hyperlink>
      <w:r w:rsidR="00ED506C" w:rsidRPr="00E03C53">
        <w:rPr>
          <w:rFonts w:asciiTheme="minorHAnsi" w:eastAsiaTheme="minorHAnsi" w:hAnsiTheme="minorHAnsi" w:cstheme="minorHAnsi"/>
          <w:b w:val="0"/>
          <w:bCs w:val="0"/>
          <w:color w:val="000000"/>
          <w:sz w:val="22"/>
          <w:szCs w:val="22"/>
          <w:lang w:val="en-GB" w:eastAsia="en-US"/>
        </w:rPr>
        <w:t xml:space="preserve">, volume 5, pp. 145-187. </w:t>
      </w:r>
      <w:hyperlink r:id="rId5" w:tgtFrame="_blank" w:tooltip="Persistent link using digital object identifier" w:history="1">
        <w:r w:rsidR="00ED506C" w:rsidRPr="00E03C53">
          <w:rPr>
            <w:rStyle w:val="Hyperlink"/>
            <w:rFonts w:asciiTheme="minorHAnsi" w:eastAsiaTheme="minorHAnsi" w:hAnsiTheme="minorHAnsi" w:cstheme="minorBidi"/>
            <w:b w:val="0"/>
            <w:bCs w:val="0"/>
            <w:sz w:val="22"/>
            <w:szCs w:val="22"/>
            <w:lang w:val="en-GB" w:eastAsia="en-US"/>
          </w:rPr>
          <w:t>https://doi.org/10.1016/bs.apmp.2020.07.004</w:t>
        </w:r>
      </w:hyperlink>
    </w:p>
    <w:p w14:paraId="3E6C9730" w14:textId="65636BDC" w:rsidR="005F4798" w:rsidRPr="00E03C53" w:rsidRDefault="005F4798" w:rsidP="00AF0D44">
      <w:pPr>
        <w:spacing w:after="120" w:line="240" w:lineRule="auto"/>
        <w:rPr>
          <w:rFonts w:cstheme="minorHAnsi"/>
          <w:color w:val="4472C4" w:themeColor="accent5"/>
          <w:lang w:val="en-GB"/>
        </w:rPr>
      </w:pPr>
      <w:r w:rsidRPr="00E03C53">
        <w:rPr>
          <w:rFonts w:cstheme="minorHAnsi"/>
          <w:lang w:val="en-GB"/>
        </w:rPr>
        <w:t xml:space="preserve">van </w:t>
      </w:r>
      <w:proofErr w:type="spellStart"/>
      <w:r w:rsidRPr="00E03C53">
        <w:rPr>
          <w:rFonts w:cstheme="minorHAnsi"/>
          <w:lang w:val="en-GB"/>
        </w:rPr>
        <w:t>Hullenbusch</w:t>
      </w:r>
      <w:proofErr w:type="spellEnd"/>
      <w:r w:rsidR="00562460" w:rsidRPr="00E03C53">
        <w:rPr>
          <w:rFonts w:cstheme="minorHAnsi"/>
          <w:lang w:val="en-GB"/>
        </w:rPr>
        <w:t xml:space="preserve">, E., Bani, A., Carvalho, P., Cetecioglu, Z., De </w:t>
      </w:r>
      <w:proofErr w:type="spellStart"/>
      <w:r w:rsidR="00562460" w:rsidRPr="00E03C53">
        <w:rPr>
          <w:rFonts w:cstheme="minorHAnsi"/>
          <w:lang w:val="en-GB"/>
        </w:rPr>
        <w:t>Gusseme</w:t>
      </w:r>
      <w:proofErr w:type="spellEnd"/>
      <w:r w:rsidR="00562460" w:rsidRPr="00E03C53">
        <w:rPr>
          <w:rFonts w:cstheme="minorHAnsi"/>
          <w:lang w:val="en-GB"/>
        </w:rPr>
        <w:t xml:space="preserve">, B., Di Lonardo, S., </w:t>
      </w:r>
      <w:proofErr w:type="spellStart"/>
      <w:r w:rsidR="00562460" w:rsidRPr="00E03C53">
        <w:rPr>
          <w:rFonts w:cstheme="minorHAnsi"/>
          <w:lang w:val="en-GB"/>
        </w:rPr>
        <w:t>Djolić</w:t>
      </w:r>
      <w:proofErr w:type="spellEnd"/>
      <w:r w:rsidR="00562460" w:rsidRPr="00E03C53">
        <w:rPr>
          <w:rFonts w:cstheme="minorHAnsi"/>
          <w:lang w:val="en-GB"/>
        </w:rPr>
        <w:t>, M., Eekert, M.</w:t>
      </w:r>
      <w:r w:rsidRPr="00E03C53">
        <w:rPr>
          <w:rFonts w:cstheme="minorHAnsi"/>
          <w:lang w:val="en-GB"/>
        </w:rPr>
        <w:t xml:space="preserve"> et al. 2021</w:t>
      </w:r>
      <w:r w:rsidR="00562460" w:rsidRPr="00E03C53">
        <w:rPr>
          <w:rFonts w:cstheme="minorHAnsi"/>
          <w:lang w:val="en-GB"/>
        </w:rPr>
        <w:t>. Nature-based units as building blocks for resource recovery systems in cities. Water, 13(22)</w:t>
      </w:r>
      <w:r w:rsidR="00ED506C" w:rsidRPr="00E03C53">
        <w:rPr>
          <w:rFonts w:cstheme="minorHAnsi"/>
          <w:lang w:val="en-GB"/>
        </w:rPr>
        <w:t xml:space="preserve">: 3153 </w:t>
      </w:r>
      <w:hyperlink r:id="rId6" w:history="1">
        <w:r w:rsidR="00ED506C" w:rsidRPr="00E03C53">
          <w:rPr>
            <w:rStyle w:val="Hyperlink"/>
            <w:lang w:val="en-GB"/>
          </w:rPr>
          <w:t>https://doi.org/10.3390/w13223153</w:t>
        </w:r>
      </w:hyperlink>
    </w:p>
    <w:sectPr w:rsidR="005F4798" w:rsidRPr="00E03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3459"/>
    <w:rsid w:val="00110524"/>
    <w:rsid w:val="0018785E"/>
    <w:rsid w:val="00201223"/>
    <w:rsid w:val="002508EB"/>
    <w:rsid w:val="002B7C25"/>
    <w:rsid w:val="003002B9"/>
    <w:rsid w:val="003D2444"/>
    <w:rsid w:val="004B2B82"/>
    <w:rsid w:val="00562460"/>
    <w:rsid w:val="005F4798"/>
    <w:rsid w:val="00627C62"/>
    <w:rsid w:val="00687E09"/>
    <w:rsid w:val="006B464D"/>
    <w:rsid w:val="00923D5B"/>
    <w:rsid w:val="00941231"/>
    <w:rsid w:val="00975BAE"/>
    <w:rsid w:val="00996752"/>
    <w:rsid w:val="00A031AB"/>
    <w:rsid w:val="00A25A7D"/>
    <w:rsid w:val="00A52AD7"/>
    <w:rsid w:val="00A83459"/>
    <w:rsid w:val="00AF0D44"/>
    <w:rsid w:val="00B871A3"/>
    <w:rsid w:val="00BA0204"/>
    <w:rsid w:val="00BC3239"/>
    <w:rsid w:val="00C46861"/>
    <w:rsid w:val="00CE37F3"/>
    <w:rsid w:val="00E03C53"/>
    <w:rsid w:val="00ED506C"/>
    <w:rsid w:val="00F61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99D6"/>
  <w15:docId w15:val="{1D340E56-ABFF-4F33-8316-F7070285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506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5BA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ED506C"/>
    <w:rPr>
      <w:color w:val="0000FF"/>
      <w:u w:val="single"/>
    </w:rPr>
  </w:style>
  <w:style w:type="character" w:customStyle="1" w:styleId="Heading2Char">
    <w:name w:val="Heading 2 Char"/>
    <w:basedOn w:val="DefaultParagraphFont"/>
    <w:link w:val="Heading2"/>
    <w:uiPriority w:val="9"/>
    <w:rsid w:val="00ED506C"/>
    <w:rPr>
      <w:rFonts w:ascii="Times New Roman" w:eastAsia="Times New Roman" w:hAnsi="Times New Roman" w:cs="Times New Roman"/>
      <w:b/>
      <w:bCs/>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9684">
      <w:bodyDiv w:val="1"/>
      <w:marLeft w:val="0"/>
      <w:marRight w:val="0"/>
      <w:marTop w:val="0"/>
      <w:marBottom w:val="0"/>
      <w:divBdr>
        <w:top w:val="none" w:sz="0" w:space="0" w:color="auto"/>
        <w:left w:val="none" w:sz="0" w:space="0" w:color="auto"/>
        <w:bottom w:val="none" w:sz="0" w:space="0" w:color="auto"/>
        <w:right w:val="none" w:sz="0" w:space="0" w:color="auto"/>
      </w:divBdr>
    </w:div>
    <w:div w:id="1222906307">
      <w:bodyDiv w:val="1"/>
      <w:marLeft w:val="0"/>
      <w:marRight w:val="0"/>
      <w:marTop w:val="0"/>
      <w:marBottom w:val="0"/>
      <w:divBdr>
        <w:top w:val="none" w:sz="0" w:space="0" w:color="auto"/>
        <w:left w:val="none" w:sz="0" w:space="0" w:color="auto"/>
        <w:bottom w:val="none" w:sz="0" w:space="0" w:color="auto"/>
        <w:right w:val="none" w:sz="0" w:space="0" w:color="auto"/>
      </w:divBdr>
      <w:divsChild>
        <w:div w:id="1479299353">
          <w:marLeft w:val="0"/>
          <w:marRight w:val="0"/>
          <w:marTop w:val="0"/>
          <w:marBottom w:val="0"/>
          <w:divBdr>
            <w:top w:val="none" w:sz="0" w:space="0" w:color="auto"/>
            <w:left w:val="none" w:sz="0" w:space="0" w:color="auto"/>
            <w:bottom w:val="none" w:sz="0" w:space="0" w:color="auto"/>
            <w:right w:val="none" w:sz="0" w:space="0" w:color="auto"/>
          </w:divBdr>
          <w:divsChild>
            <w:div w:id="10300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51692">
      <w:bodyDiv w:val="1"/>
      <w:marLeft w:val="0"/>
      <w:marRight w:val="0"/>
      <w:marTop w:val="0"/>
      <w:marBottom w:val="0"/>
      <w:divBdr>
        <w:top w:val="none" w:sz="0" w:space="0" w:color="auto"/>
        <w:left w:val="none" w:sz="0" w:space="0" w:color="auto"/>
        <w:bottom w:val="none" w:sz="0" w:space="0" w:color="auto"/>
        <w:right w:val="none" w:sz="0" w:space="0" w:color="auto"/>
      </w:divBdr>
      <w:divsChild>
        <w:div w:id="1313559246">
          <w:marLeft w:val="0"/>
          <w:marRight w:val="0"/>
          <w:marTop w:val="0"/>
          <w:marBottom w:val="0"/>
          <w:divBdr>
            <w:top w:val="none" w:sz="0" w:space="0" w:color="auto"/>
            <w:left w:val="none" w:sz="0" w:space="0" w:color="auto"/>
            <w:bottom w:val="none" w:sz="0" w:space="0" w:color="auto"/>
            <w:right w:val="none" w:sz="0" w:space="0" w:color="auto"/>
          </w:divBdr>
          <w:divsChild>
            <w:div w:id="17703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90/w13223153" TargetMode="External"/><Relationship Id="rId5" Type="http://schemas.openxmlformats.org/officeDocument/2006/relationships/hyperlink" Target="https://doi.org/10.1016/bs.apmp.2020.07.004" TargetMode="External"/><Relationship Id="rId4" Type="http://schemas.openxmlformats.org/officeDocument/2006/relationships/hyperlink" Target="https://www.sciencedirect.com/bookseries/advances-in-chemical-pollution-environmental-management-and-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3671</TotalTime>
  <Pages>2</Pages>
  <Words>893</Words>
  <Characters>5093</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Istenič, Darja</dc:creator>
  <cp:keywords/>
  <dc:description/>
  <cp:lastModifiedBy>Jergus Semko</cp:lastModifiedBy>
  <cp:revision>1</cp:revision>
  <dcterms:created xsi:type="dcterms:W3CDTF">2022-04-19T11:53:00Z</dcterms:created>
  <dcterms:modified xsi:type="dcterms:W3CDTF">2022-05-19T10:00:00Z</dcterms:modified>
</cp:coreProperties>
</file>