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AF11C" w14:textId="77777777" w:rsidR="009B384C" w:rsidRPr="00AE7E99" w:rsidRDefault="009B384C" w:rsidP="009B384C">
      <w:pPr>
        <w:pStyle w:val="NoSpacing"/>
        <w:rPr>
          <w:sz w:val="22"/>
          <w:lang w:val="en-GB"/>
        </w:rPr>
      </w:pPr>
    </w:p>
    <w:p w14:paraId="5F79FF19" w14:textId="4EE324E3" w:rsidR="002B2A59" w:rsidRPr="00AE7E99" w:rsidRDefault="000540B9" w:rsidP="002B2A59">
      <w:pPr>
        <w:rPr>
          <w:lang w:val="en-GB"/>
        </w:rPr>
      </w:pPr>
      <w:r>
        <w:rPr>
          <w:lang w:val="en-GB"/>
        </w:rPr>
        <w:t>Version 2014-</w:t>
      </w:r>
      <w:r w:rsidR="00714452">
        <w:rPr>
          <w:lang w:val="en-GB"/>
        </w:rPr>
        <w:t>06-03</w:t>
      </w:r>
    </w:p>
    <w:p w14:paraId="5FB0A90B" w14:textId="6DC60E7E" w:rsidR="0085240B" w:rsidRPr="00AE7E99" w:rsidRDefault="0076737D" w:rsidP="0035695D">
      <w:pPr>
        <w:pStyle w:val="Heading1"/>
        <w:jc w:val="center"/>
      </w:pPr>
      <w:r w:rsidRPr="00AE7E99">
        <w:t xml:space="preserve">Governance </w:t>
      </w:r>
      <w:r w:rsidR="0085240B" w:rsidRPr="00AE7E99">
        <w:t>Review</w:t>
      </w:r>
    </w:p>
    <w:p w14:paraId="1751FE17" w14:textId="3E6C556D" w:rsidR="0085240B" w:rsidRPr="00AE7E99" w:rsidRDefault="00E27AD4" w:rsidP="0035695D">
      <w:pPr>
        <w:pStyle w:val="Heading1"/>
        <w:jc w:val="center"/>
      </w:pPr>
      <w:r w:rsidRPr="00AE7E99">
        <w:t>Terms of Reference</w:t>
      </w:r>
    </w:p>
    <w:p w14:paraId="3F8D6BD5" w14:textId="77777777" w:rsidR="0085240B" w:rsidRPr="00AE7E99" w:rsidRDefault="0085240B" w:rsidP="0085240B">
      <w:pPr>
        <w:pStyle w:val="NoSpacing"/>
        <w:jc w:val="center"/>
        <w:rPr>
          <w:sz w:val="22"/>
          <w:lang w:val="en-GB"/>
        </w:rPr>
      </w:pPr>
    </w:p>
    <w:p w14:paraId="575BD244" w14:textId="38083CB2" w:rsidR="009067E5" w:rsidRPr="00AE7E99" w:rsidRDefault="009067E5" w:rsidP="009067E5">
      <w:pPr>
        <w:pStyle w:val="Heading2"/>
      </w:pPr>
      <w:r w:rsidRPr="00AE7E99">
        <w:t>Background</w:t>
      </w:r>
    </w:p>
    <w:p w14:paraId="2F6E9C0D" w14:textId="6226E4F1" w:rsidR="001F18EA" w:rsidRPr="00AE7E99" w:rsidRDefault="00B9428C" w:rsidP="4F61CED0">
      <w:pPr>
        <w:pStyle w:val="Heading3"/>
        <w:rPr>
          <w:lang w:val="en-GB"/>
        </w:rPr>
      </w:pPr>
      <w:r w:rsidRPr="00AE7E99">
        <w:rPr>
          <w:lang w:val="en-GB"/>
        </w:rPr>
        <w:t xml:space="preserve">History and Governance Structure </w:t>
      </w:r>
    </w:p>
    <w:p w14:paraId="32644F9F" w14:textId="203A2664" w:rsidR="00B9428C" w:rsidRPr="00AE7E99" w:rsidRDefault="00B9428C" w:rsidP="0098494A">
      <w:pPr>
        <w:pStyle w:val="Heading4"/>
        <w:rPr>
          <w:lang w:val="en-GB"/>
        </w:rPr>
      </w:pPr>
      <w:r w:rsidRPr="00AE7E99">
        <w:rPr>
          <w:lang w:val="en-GB"/>
        </w:rPr>
        <w:t>History</w:t>
      </w:r>
    </w:p>
    <w:p w14:paraId="0FB8F2E5" w14:textId="70F9A662" w:rsidR="001F18EA" w:rsidRPr="00AE7E99" w:rsidRDefault="1FB1FF5C" w:rsidP="1FB1FF5C">
      <w:pPr>
        <w:rPr>
          <w:sz w:val="22"/>
          <w:lang w:val="en-GB"/>
        </w:rPr>
      </w:pPr>
      <w:r w:rsidRPr="00AE7E99">
        <w:rPr>
          <w:sz w:val="22"/>
          <w:lang w:val="en-GB"/>
        </w:rPr>
        <w:t>The Global Water Partnership (GWP) was created in 1996 and is a worldwide action network of partner organisations. It is recognized internationally as a leading advocate for integrating the development and management of water, land, and related resources in order to maximise economic and social welfare without compromising the sustainability of ecosystems and the environment.</w:t>
      </w:r>
    </w:p>
    <w:p w14:paraId="4165781D" w14:textId="7DB17724" w:rsidR="0085240B" w:rsidRPr="00AE7E99" w:rsidRDefault="00AD5070" w:rsidP="0085240B">
      <w:pPr>
        <w:rPr>
          <w:sz w:val="22"/>
          <w:lang w:val="en-GB"/>
        </w:rPr>
      </w:pPr>
      <w:r w:rsidRPr="00AE7E99">
        <w:rPr>
          <w:sz w:val="22"/>
          <w:lang w:val="en-GB"/>
        </w:rPr>
        <w:t>A secretariat for the GWP Network was established at the Swedish Intern</w:t>
      </w:r>
      <w:r w:rsidR="002B188D" w:rsidRPr="00AE7E99">
        <w:rPr>
          <w:sz w:val="22"/>
          <w:lang w:val="en-GB"/>
        </w:rPr>
        <w:t>ational Development Agency</w:t>
      </w:r>
      <w:r w:rsidR="00270CF1" w:rsidRPr="00AE7E99">
        <w:rPr>
          <w:sz w:val="22"/>
          <w:lang w:val="en-GB"/>
        </w:rPr>
        <w:t xml:space="preserve"> (SIDA)</w:t>
      </w:r>
      <w:r w:rsidR="002B188D" w:rsidRPr="00AE7E99">
        <w:rPr>
          <w:sz w:val="22"/>
          <w:lang w:val="en-GB"/>
        </w:rPr>
        <w:t xml:space="preserve"> and from</w:t>
      </w:r>
      <w:r w:rsidRPr="00AE7E99">
        <w:rPr>
          <w:sz w:val="22"/>
          <w:lang w:val="en-GB"/>
        </w:rPr>
        <w:t xml:space="preserve"> 1997, Regional Tech</w:t>
      </w:r>
      <w:r w:rsidRPr="00AE7E99">
        <w:rPr>
          <w:sz w:val="22"/>
          <w:lang w:val="en-GB"/>
        </w:rPr>
        <w:lastRenderedPageBreak/>
        <w:t>nical Advisory Committees and Country Water Partnerships</w:t>
      </w:r>
      <w:r w:rsidR="004C4129" w:rsidRPr="00AE7E99">
        <w:rPr>
          <w:sz w:val="22"/>
          <w:lang w:val="en-GB"/>
        </w:rPr>
        <w:t xml:space="preserve"> were created around the world</w:t>
      </w:r>
      <w:r w:rsidR="00C85AF4" w:rsidRPr="00AE7E99">
        <w:rPr>
          <w:sz w:val="22"/>
          <w:lang w:val="en-GB"/>
        </w:rPr>
        <w:t xml:space="preserve"> and individual organisation</w:t>
      </w:r>
      <w:r w:rsidR="0076737D" w:rsidRPr="00AE7E99">
        <w:rPr>
          <w:sz w:val="22"/>
          <w:lang w:val="en-GB"/>
        </w:rPr>
        <w:t>s</w:t>
      </w:r>
      <w:r w:rsidR="00C85AF4" w:rsidRPr="00AE7E99">
        <w:rPr>
          <w:sz w:val="22"/>
          <w:lang w:val="en-GB"/>
        </w:rPr>
        <w:t xml:space="preserve"> from multiple stakeholder groups joined the GWP Network as GWP Partners</w:t>
      </w:r>
      <w:r w:rsidR="004C4129" w:rsidRPr="00AE7E99">
        <w:rPr>
          <w:sz w:val="22"/>
          <w:lang w:val="en-GB"/>
        </w:rPr>
        <w:t>.</w:t>
      </w:r>
    </w:p>
    <w:p w14:paraId="64EF2E32" w14:textId="77777777" w:rsidR="00860667" w:rsidRDefault="004C4129" w:rsidP="0085240B">
      <w:pPr>
        <w:rPr>
          <w:sz w:val="22"/>
          <w:lang w:val="en-GB"/>
        </w:rPr>
      </w:pPr>
      <w:r w:rsidRPr="00AE7E99">
        <w:rPr>
          <w:sz w:val="22"/>
          <w:lang w:val="en-GB"/>
        </w:rPr>
        <w:t xml:space="preserve">Due to its increase in size and activities, it was decided in 2002 that the GWP Network be moved out of SIDA and be </w:t>
      </w:r>
      <w:r w:rsidR="0076737D" w:rsidRPr="00AE7E99">
        <w:rPr>
          <w:sz w:val="22"/>
          <w:lang w:val="en-GB"/>
        </w:rPr>
        <w:t>“</w:t>
      </w:r>
      <w:r w:rsidRPr="00AE7E99">
        <w:rPr>
          <w:sz w:val="22"/>
          <w:lang w:val="en-GB"/>
        </w:rPr>
        <w:t>managed</w:t>
      </w:r>
      <w:r w:rsidR="0076737D" w:rsidRPr="00AE7E99">
        <w:rPr>
          <w:sz w:val="22"/>
          <w:lang w:val="en-GB"/>
        </w:rPr>
        <w:t>”</w:t>
      </w:r>
      <w:r w:rsidRPr="00AE7E99">
        <w:rPr>
          <w:sz w:val="22"/>
          <w:lang w:val="en-GB"/>
        </w:rPr>
        <w:t xml:space="preserve"> by its own intergovernmental organisation, Global Water Partnership Organisation (GWPO), with its headquarters in Stockholm, Sweden. </w:t>
      </w:r>
      <w:r w:rsidR="00B9428C" w:rsidRPr="00AE7E99">
        <w:rPr>
          <w:sz w:val="22"/>
          <w:lang w:val="en-GB"/>
        </w:rPr>
        <w:t xml:space="preserve">The present governance structure has been in place since 2002 when the Global Water Partnership Organisation (GWPO or “the Organisation”) was established by a Memorandum of </w:t>
      </w:r>
      <w:r w:rsidR="009067E5" w:rsidRPr="00AE7E99">
        <w:rPr>
          <w:sz w:val="22"/>
          <w:lang w:val="en-GB"/>
        </w:rPr>
        <w:t>Understanding on the Establishment of GWP/GWPO (“</w:t>
      </w:r>
      <w:proofErr w:type="spellStart"/>
      <w:r w:rsidR="009067E5" w:rsidRPr="00AE7E99">
        <w:rPr>
          <w:sz w:val="22"/>
          <w:lang w:val="en-GB"/>
        </w:rPr>
        <w:t>MoU</w:t>
      </w:r>
      <w:proofErr w:type="spellEnd"/>
      <w:r w:rsidR="009067E5" w:rsidRPr="00AE7E99">
        <w:rPr>
          <w:sz w:val="22"/>
          <w:lang w:val="en-GB"/>
        </w:rPr>
        <w:t xml:space="preserve"> on Establishment”)</w:t>
      </w:r>
      <w:r w:rsidR="00B9428C" w:rsidRPr="00AE7E99">
        <w:rPr>
          <w:sz w:val="22"/>
          <w:lang w:val="en-GB"/>
        </w:rPr>
        <w:t xml:space="preserve"> signed by Governments (Argentina, Chile, Denmark, Hungary, Jordan, Pakistan Sweden, The Netherlands,) and Multilateral Organizations (WMO, World Bank) to support the GWP Network. The governance structure was </w:t>
      </w:r>
      <w:r w:rsidR="00AE7E99" w:rsidRPr="00AE7E99">
        <w:rPr>
          <w:sz w:val="22"/>
          <w:lang w:val="en-GB"/>
        </w:rPr>
        <w:t>modelled</w:t>
      </w:r>
      <w:r w:rsidR="00B9428C" w:rsidRPr="00AE7E99">
        <w:rPr>
          <w:sz w:val="22"/>
          <w:lang w:val="en-GB"/>
        </w:rPr>
        <w:t xml:space="preserve"> after the CGIAR system as it existed at the time. </w:t>
      </w:r>
    </w:p>
    <w:p w14:paraId="38F6A063" w14:textId="77777777" w:rsidR="00860667" w:rsidRDefault="00860667" w:rsidP="00860667">
      <w:pPr>
        <w:pStyle w:val="Heading4"/>
        <w:rPr>
          <w:lang w:val="en-GB"/>
        </w:rPr>
      </w:pPr>
      <w:r>
        <w:rPr>
          <w:lang w:val="en-GB"/>
        </w:rPr>
        <w:t>Definitions</w:t>
      </w:r>
    </w:p>
    <w:p w14:paraId="094F80CF" w14:textId="664AC0B7" w:rsidR="00B9428C" w:rsidRDefault="00860667" w:rsidP="00860667">
      <w:pPr>
        <w:ind w:left="2160" w:hanging="2160"/>
        <w:rPr>
          <w:lang w:val="en-GB"/>
        </w:rPr>
      </w:pPr>
      <w:r w:rsidRPr="00860667">
        <w:rPr>
          <w:i/>
          <w:sz w:val="22"/>
          <w:lang w:val="en-GB"/>
        </w:rPr>
        <w:t>GWP Network</w:t>
      </w:r>
      <w:r>
        <w:rPr>
          <w:sz w:val="22"/>
          <w:lang w:val="en-GB"/>
        </w:rPr>
        <w:tab/>
        <w:t>GWP Partnerships (at regional, national and subnational level) and the GWP Partners.</w:t>
      </w:r>
      <w:r w:rsidR="00B9428C" w:rsidRPr="00AE7E99">
        <w:rPr>
          <w:lang w:val="en-GB"/>
        </w:rPr>
        <w:t xml:space="preserve"> </w:t>
      </w:r>
    </w:p>
    <w:p w14:paraId="4DC4BD08" w14:textId="5CD012E8" w:rsidR="00860667" w:rsidRDefault="00860667" w:rsidP="00860667">
      <w:pPr>
        <w:ind w:left="1440" w:hanging="1440"/>
        <w:rPr>
          <w:sz w:val="22"/>
          <w:lang w:val="en-GB"/>
        </w:rPr>
      </w:pPr>
      <w:r>
        <w:rPr>
          <w:i/>
          <w:sz w:val="22"/>
          <w:lang w:val="en-GB"/>
        </w:rPr>
        <w:t>GWP Partners</w:t>
      </w:r>
      <w:r>
        <w:rPr>
          <w:i/>
          <w:sz w:val="22"/>
          <w:lang w:val="en-GB"/>
        </w:rPr>
        <w:tab/>
      </w:r>
      <w:r>
        <w:rPr>
          <w:i/>
          <w:sz w:val="22"/>
          <w:lang w:val="en-GB"/>
        </w:rPr>
        <w:tab/>
      </w:r>
      <w:r>
        <w:rPr>
          <w:sz w:val="22"/>
          <w:lang w:val="en-GB"/>
        </w:rPr>
        <w:t>Any organisation registered and accepted as a GWP Partner with GWPO.</w:t>
      </w:r>
    </w:p>
    <w:p w14:paraId="628DC86D" w14:textId="6FACBC07" w:rsidR="00860667" w:rsidRDefault="00860667" w:rsidP="00860667">
      <w:pPr>
        <w:ind w:left="2160" w:hanging="2160"/>
        <w:rPr>
          <w:sz w:val="22"/>
          <w:lang w:val="en-GB"/>
        </w:rPr>
      </w:pPr>
      <w:r>
        <w:rPr>
          <w:i/>
          <w:sz w:val="22"/>
          <w:lang w:val="en-GB"/>
        </w:rPr>
        <w:lastRenderedPageBreak/>
        <w:t>GWPO</w:t>
      </w:r>
      <w:r>
        <w:rPr>
          <w:i/>
          <w:sz w:val="22"/>
          <w:lang w:val="en-GB"/>
        </w:rPr>
        <w:tab/>
      </w:r>
      <w:r>
        <w:rPr>
          <w:sz w:val="22"/>
          <w:lang w:val="en-GB"/>
        </w:rPr>
        <w:t>Global Water Partnership Organisation established by the Memorandum of Understanding on the Establishment of GWP/GWPO.</w:t>
      </w:r>
    </w:p>
    <w:p w14:paraId="7FF6EA98" w14:textId="50B64A95" w:rsidR="00860667" w:rsidRPr="00AE7E99" w:rsidRDefault="00860667" w:rsidP="00860667">
      <w:pPr>
        <w:ind w:left="2160" w:hanging="2160"/>
        <w:rPr>
          <w:lang w:val="en-GB"/>
        </w:rPr>
      </w:pPr>
      <w:r>
        <w:rPr>
          <w:i/>
          <w:sz w:val="22"/>
          <w:lang w:val="en-GB"/>
        </w:rPr>
        <w:t>GWP Partnership</w:t>
      </w:r>
      <w:r>
        <w:rPr>
          <w:i/>
          <w:sz w:val="22"/>
          <w:lang w:val="en-GB"/>
        </w:rPr>
        <w:tab/>
      </w:r>
      <w:r>
        <w:rPr>
          <w:sz w:val="22"/>
          <w:lang w:val="en-GB"/>
        </w:rPr>
        <w:t>The structures by which the GWP Partners organise themselves, i.e. Regional and Country Water Partnerships and well as sub-national water partnerships.</w:t>
      </w:r>
    </w:p>
    <w:p w14:paraId="43CD3483" w14:textId="57D52A50" w:rsidR="00B9428C" w:rsidRPr="00AE7E99" w:rsidRDefault="00B9428C" w:rsidP="0098494A">
      <w:pPr>
        <w:pStyle w:val="Heading4"/>
        <w:rPr>
          <w:lang w:val="en-GB"/>
        </w:rPr>
      </w:pPr>
      <w:r w:rsidRPr="00AE7E99">
        <w:rPr>
          <w:lang w:val="en-GB"/>
        </w:rPr>
        <w:t>Governance Structure</w:t>
      </w:r>
    </w:p>
    <w:p w14:paraId="1BE72C52" w14:textId="6426FB09" w:rsidR="004C4129" w:rsidRPr="00AE7E99" w:rsidRDefault="00B9428C" w:rsidP="0085240B">
      <w:pPr>
        <w:rPr>
          <w:b/>
          <w:sz w:val="22"/>
          <w:u w:val="single"/>
          <w:lang w:val="en-GB"/>
        </w:rPr>
      </w:pPr>
      <w:r w:rsidRPr="00AE7E99">
        <w:rPr>
          <w:sz w:val="22"/>
          <w:lang w:val="en-GB"/>
        </w:rPr>
        <w:t xml:space="preserve">Under the Memorandum of </w:t>
      </w:r>
      <w:r w:rsidR="009067E5" w:rsidRPr="00AE7E99">
        <w:rPr>
          <w:sz w:val="22"/>
          <w:lang w:val="en-GB"/>
        </w:rPr>
        <w:t>Understanding</w:t>
      </w:r>
      <w:r w:rsidRPr="00AE7E99">
        <w:rPr>
          <w:sz w:val="22"/>
          <w:lang w:val="en-GB"/>
        </w:rPr>
        <w:t>, Statutes for GWP and GWPO were created and these govern the GWP Network and GWPO. According</w:t>
      </w:r>
      <w:r w:rsidR="00270CF1" w:rsidRPr="00AE7E99">
        <w:rPr>
          <w:sz w:val="22"/>
          <w:lang w:val="en-GB"/>
        </w:rPr>
        <w:t xml:space="preserve"> to </w:t>
      </w:r>
      <w:r w:rsidRPr="00AE7E99">
        <w:rPr>
          <w:sz w:val="22"/>
          <w:lang w:val="en-GB"/>
        </w:rPr>
        <w:t>the</w:t>
      </w:r>
      <w:r w:rsidR="00270CF1" w:rsidRPr="00AE7E99">
        <w:rPr>
          <w:sz w:val="22"/>
          <w:lang w:val="en-GB"/>
        </w:rPr>
        <w:t xml:space="preserve"> Statutes, </w:t>
      </w:r>
      <w:r w:rsidRPr="00AE7E99">
        <w:rPr>
          <w:sz w:val="22"/>
          <w:lang w:val="en-GB"/>
        </w:rPr>
        <w:t xml:space="preserve">the GWP Network has no legal personality while GWPO is an intergovernmental organisation with full legal personality under public international law. </w:t>
      </w:r>
      <w:r w:rsidR="00AE7E99">
        <w:rPr>
          <w:sz w:val="22"/>
          <w:lang w:val="en-GB"/>
        </w:rPr>
        <w:t xml:space="preserve">The </w:t>
      </w:r>
      <w:r w:rsidR="00860667">
        <w:rPr>
          <w:sz w:val="22"/>
          <w:lang w:val="en-GB"/>
        </w:rPr>
        <w:t xml:space="preserve">Statutes state that the </w:t>
      </w:r>
      <w:r w:rsidR="00AE7E99">
        <w:rPr>
          <w:sz w:val="22"/>
          <w:lang w:val="en-GB"/>
        </w:rPr>
        <w:t>GWP Network’s objective</w:t>
      </w:r>
      <w:r w:rsidR="009067E5" w:rsidRPr="00AE7E99">
        <w:rPr>
          <w:sz w:val="22"/>
          <w:lang w:val="en-GB"/>
        </w:rPr>
        <w:t xml:space="preserve"> is to develop and promote the principles of integrated water resources management and GWPO’s objective is to support and work with the GWP Network.</w:t>
      </w:r>
    </w:p>
    <w:p w14:paraId="2F0D4A1D" w14:textId="77777777" w:rsidR="009067E5" w:rsidRPr="00AE7E99" w:rsidRDefault="00BB5115" w:rsidP="00BB5115">
      <w:pPr>
        <w:rPr>
          <w:sz w:val="22"/>
          <w:lang w:val="en-GB"/>
        </w:rPr>
      </w:pPr>
      <w:r w:rsidRPr="00AE7E99">
        <w:rPr>
          <w:sz w:val="22"/>
          <w:lang w:val="en-GB"/>
        </w:rPr>
        <w:t xml:space="preserve">Figure 1 below presents the relationships among the various governance units of GWPO and the Network and highlights the main governance role of each one. It is not an organizational chart.  The formal governance units of GWPO (Meeting of the Sponsoring Partners, Steering </w:t>
      </w:r>
      <w:r w:rsidRPr="00AE7E99">
        <w:rPr>
          <w:sz w:val="22"/>
          <w:lang w:val="en-GB"/>
        </w:rPr>
        <w:lastRenderedPageBreak/>
        <w:t>Committee and Nominations Committee) are presented in detail below, each with their specific governance roles. The Network Meeting, Regional and Country Water Partnerships,</w:t>
      </w:r>
      <w:r w:rsidR="009067E5" w:rsidRPr="00AE7E99">
        <w:rPr>
          <w:sz w:val="22"/>
          <w:lang w:val="en-GB"/>
        </w:rPr>
        <w:t xml:space="preserve"> the Financing Partners Group, as well as the</w:t>
      </w:r>
      <w:r w:rsidRPr="00AE7E99">
        <w:rPr>
          <w:sz w:val="22"/>
          <w:lang w:val="en-GB"/>
        </w:rPr>
        <w:t xml:space="preserve"> Executive </w:t>
      </w:r>
      <w:r w:rsidR="009067E5" w:rsidRPr="00AE7E99">
        <w:rPr>
          <w:sz w:val="22"/>
          <w:lang w:val="en-GB"/>
        </w:rPr>
        <w:t>Leadership</w:t>
      </w:r>
      <w:r w:rsidRPr="00AE7E99">
        <w:rPr>
          <w:sz w:val="22"/>
          <w:lang w:val="en-GB"/>
        </w:rPr>
        <w:t xml:space="preserve"> are also de</w:t>
      </w:r>
      <w:r w:rsidR="009067E5" w:rsidRPr="00AE7E99">
        <w:rPr>
          <w:sz w:val="22"/>
          <w:lang w:val="en-GB"/>
        </w:rPr>
        <w:t xml:space="preserve">scribed. </w:t>
      </w:r>
    </w:p>
    <w:p w14:paraId="74963BBF" w14:textId="2BE0FF05" w:rsidR="00BB5115" w:rsidRPr="00AE7E99" w:rsidRDefault="009067E5" w:rsidP="00BB5115">
      <w:pPr>
        <w:rPr>
          <w:sz w:val="22"/>
          <w:lang w:val="en-GB"/>
        </w:rPr>
      </w:pPr>
      <w:r w:rsidRPr="00AE7E99">
        <w:rPr>
          <w:sz w:val="22"/>
          <w:lang w:val="en-GB"/>
        </w:rPr>
        <w:t xml:space="preserve"> </w:t>
      </w:r>
    </w:p>
    <w:p w14:paraId="427F1568" w14:textId="77777777" w:rsidR="00BB5115" w:rsidRPr="00AE7E99" w:rsidRDefault="00BB5115" w:rsidP="00BB5115">
      <w:pPr>
        <w:rPr>
          <w:b/>
          <w:sz w:val="22"/>
          <w:u w:val="single"/>
          <w:lang w:val="en-GB"/>
        </w:rPr>
      </w:pPr>
      <w:r w:rsidRPr="00AE7E99">
        <w:rPr>
          <w:b/>
          <w:sz w:val="22"/>
          <w:u w:val="single"/>
          <w:lang w:val="en-GB"/>
        </w:rPr>
        <w:t>Figure 1 GWP Governance Chart</w:t>
      </w:r>
    </w:p>
    <w:p w14:paraId="11C5D293" w14:textId="77777777" w:rsidR="00BB5115" w:rsidRPr="00AE7E99" w:rsidRDefault="00BB5115" w:rsidP="0085240B">
      <w:pPr>
        <w:rPr>
          <w:b/>
          <w:sz w:val="22"/>
          <w:u w:val="single"/>
          <w:lang w:val="en-GB"/>
        </w:rPr>
      </w:pPr>
    </w:p>
    <w:p w14:paraId="3769D279" w14:textId="6425240E" w:rsidR="00BB5115" w:rsidRPr="00AE7E99" w:rsidRDefault="00BB5115" w:rsidP="0035695D">
      <w:pPr>
        <w:rPr>
          <w:sz w:val="22"/>
          <w:lang w:val="en-GB"/>
        </w:rPr>
      </w:pPr>
      <w:r w:rsidRPr="00AE7E99">
        <w:rPr>
          <w:noProof/>
          <w:sz w:val="22"/>
          <w:lang w:val="sv-SE" w:eastAsia="sv-SE"/>
        </w:rPr>
        <w:drawing>
          <wp:inline distT="0" distB="0" distL="0" distR="0" wp14:anchorId="3AC9432D" wp14:editId="394D438C">
            <wp:extent cx="4919980" cy="3286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9980" cy="3286125"/>
                    </a:xfrm>
                    <a:prstGeom prst="rect">
                      <a:avLst/>
                    </a:prstGeom>
                    <a:noFill/>
                  </pic:spPr>
                </pic:pic>
              </a:graphicData>
            </a:graphic>
          </wp:inline>
        </w:drawing>
      </w:r>
    </w:p>
    <w:p w14:paraId="605B22EF" w14:textId="77777777" w:rsidR="00BB5115" w:rsidRPr="00AE7E99" w:rsidRDefault="00BB5115" w:rsidP="0035695D">
      <w:pPr>
        <w:rPr>
          <w:sz w:val="22"/>
          <w:lang w:val="en-GB"/>
        </w:rPr>
      </w:pPr>
    </w:p>
    <w:p w14:paraId="1FB5F8DD" w14:textId="1877FF80" w:rsidR="00BB5115" w:rsidRPr="00AE7E99" w:rsidRDefault="00B95731" w:rsidP="009067E5">
      <w:pPr>
        <w:pStyle w:val="Heading4"/>
        <w:rPr>
          <w:lang w:val="en-GB"/>
        </w:rPr>
      </w:pPr>
      <w:r w:rsidRPr="00AE7E99">
        <w:rPr>
          <w:lang w:val="en-GB"/>
        </w:rPr>
        <w:lastRenderedPageBreak/>
        <w:t xml:space="preserve">1. The </w:t>
      </w:r>
      <w:r w:rsidR="009067E5" w:rsidRPr="00AE7E99">
        <w:rPr>
          <w:lang w:val="en-GB"/>
        </w:rPr>
        <w:t xml:space="preserve">GWP </w:t>
      </w:r>
      <w:r w:rsidRPr="00AE7E99">
        <w:rPr>
          <w:lang w:val="en-GB"/>
        </w:rPr>
        <w:t>Network</w:t>
      </w:r>
    </w:p>
    <w:p w14:paraId="71A43D67" w14:textId="6719D58B" w:rsidR="009067E5" w:rsidRPr="00AE7E99" w:rsidRDefault="009067E5" w:rsidP="009067E5">
      <w:pPr>
        <w:rPr>
          <w:sz w:val="22"/>
          <w:lang w:val="en-GB"/>
        </w:rPr>
      </w:pPr>
      <w:r w:rsidRPr="00AE7E99">
        <w:rPr>
          <w:sz w:val="22"/>
          <w:lang w:val="en-GB"/>
        </w:rPr>
        <w:t>The GWP Network does not as such have legal personality. The Statutes do however put in place one governance body for the Network, the Network Meeting.</w:t>
      </w:r>
    </w:p>
    <w:p w14:paraId="253986A1" w14:textId="3697E1F3" w:rsidR="00BB5115" w:rsidRPr="00AE7E99" w:rsidRDefault="00B95731" w:rsidP="009067E5">
      <w:pPr>
        <w:pStyle w:val="Heading6"/>
        <w:rPr>
          <w:lang w:val="en-GB"/>
        </w:rPr>
      </w:pPr>
      <w:r w:rsidRPr="00AE7E99">
        <w:rPr>
          <w:lang w:val="en-GB"/>
        </w:rPr>
        <w:t>1.</w:t>
      </w:r>
      <w:r w:rsidR="00CA400C" w:rsidRPr="00AE7E99">
        <w:rPr>
          <w:lang w:val="en-GB"/>
        </w:rPr>
        <w:t>1</w:t>
      </w:r>
      <w:r w:rsidRPr="00AE7E99">
        <w:rPr>
          <w:lang w:val="en-GB"/>
        </w:rPr>
        <w:t xml:space="preserve"> The Network Meeting</w:t>
      </w:r>
    </w:p>
    <w:p w14:paraId="2A79FC38" w14:textId="24090670" w:rsidR="00BB5115" w:rsidRPr="00AE7E99" w:rsidRDefault="00BB5115" w:rsidP="00BB5115">
      <w:pPr>
        <w:rPr>
          <w:sz w:val="22"/>
          <w:lang w:val="en-GB"/>
        </w:rPr>
      </w:pPr>
      <w:r w:rsidRPr="00AE7E99">
        <w:rPr>
          <w:sz w:val="22"/>
          <w:lang w:val="en-GB"/>
        </w:rPr>
        <w:t>The</w:t>
      </w:r>
      <w:r w:rsidR="00B95731" w:rsidRPr="00AE7E99">
        <w:rPr>
          <w:sz w:val="22"/>
          <w:lang w:val="en-GB"/>
        </w:rPr>
        <w:t xml:space="preserve"> GWP</w:t>
      </w:r>
      <w:r w:rsidRPr="00AE7E99">
        <w:rPr>
          <w:sz w:val="22"/>
          <w:lang w:val="en-GB"/>
        </w:rPr>
        <w:t xml:space="preserve"> Partners hold an Annual Network Meeting as notified by the Steering Committee where the governance tasks are to: </w:t>
      </w:r>
    </w:p>
    <w:p w14:paraId="24CDAD6A" w14:textId="77777777" w:rsidR="00BB5115" w:rsidRPr="00AE7E99" w:rsidRDefault="00BB5115" w:rsidP="00BB5115">
      <w:pPr>
        <w:numPr>
          <w:ilvl w:val="0"/>
          <w:numId w:val="18"/>
        </w:numPr>
        <w:rPr>
          <w:sz w:val="22"/>
          <w:lang w:val="en-GB"/>
        </w:rPr>
      </w:pPr>
      <w:r w:rsidRPr="00AE7E99">
        <w:rPr>
          <w:sz w:val="22"/>
          <w:lang w:val="en-GB"/>
        </w:rPr>
        <w:t>adopt the strategic directions and policies of the Network and direct the Steering Committee on action to be taken according to the strategic directions and;</w:t>
      </w:r>
    </w:p>
    <w:p w14:paraId="01827069" w14:textId="77777777" w:rsidR="00BB5115" w:rsidRPr="00AE7E99" w:rsidRDefault="00BB5115" w:rsidP="00BB5115">
      <w:pPr>
        <w:numPr>
          <w:ilvl w:val="0"/>
          <w:numId w:val="18"/>
        </w:numPr>
        <w:rPr>
          <w:sz w:val="22"/>
          <w:lang w:val="en-GB"/>
        </w:rPr>
      </w:pPr>
      <w:proofErr w:type="gramStart"/>
      <w:r w:rsidRPr="00AE7E99">
        <w:rPr>
          <w:sz w:val="22"/>
          <w:lang w:val="en-GB"/>
        </w:rPr>
        <w:t>decide</w:t>
      </w:r>
      <w:proofErr w:type="gramEnd"/>
      <w:r w:rsidRPr="00AE7E99">
        <w:rPr>
          <w:sz w:val="22"/>
          <w:lang w:val="en-GB"/>
        </w:rPr>
        <w:t xml:space="preserve"> whether a Partner should be expelled from the Network. </w:t>
      </w:r>
    </w:p>
    <w:p w14:paraId="445F28C7" w14:textId="4DD9D587" w:rsidR="0035695D" w:rsidRPr="00AE7E99" w:rsidRDefault="00BB5115" w:rsidP="0035695D">
      <w:pPr>
        <w:rPr>
          <w:sz w:val="22"/>
          <w:lang w:val="en-GB"/>
        </w:rPr>
      </w:pPr>
      <w:r w:rsidRPr="00AE7E99">
        <w:rPr>
          <w:sz w:val="22"/>
          <w:lang w:val="en-GB"/>
        </w:rPr>
        <w:t xml:space="preserve">The Statutory Network Meeting is governed by the Statutes (Article 9) and the By-Laws of the Network Meeting adopted in 2006. The Statutes provide no instructions as to quorum or voting.  The By-Laws state that each Partner has one vote and that the matters to be discussed are set out in the Statutes. </w:t>
      </w:r>
    </w:p>
    <w:p w14:paraId="66411647" w14:textId="3978F884" w:rsidR="00CA400C" w:rsidRPr="00AE7E99" w:rsidRDefault="00CA400C" w:rsidP="009067E5">
      <w:pPr>
        <w:pStyle w:val="Heading6"/>
        <w:rPr>
          <w:lang w:val="en-GB"/>
        </w:rPr>
      </w:pPr>
      <w:r w:rsidRPr="00AE7E99">
        <w:rPr>
          <w:lang w:val="en-GB"/>
        </w:rPr>
        <w:t>1.2 Regional and Country Water Partnerships</w:t>
      </w:r>
    </w:p>
    <w:p w14:paraId="6A009149" w14:textId="77777777" w:rsidR="00CA400C" w:rsidRPr="00AE7E99" w:rsidRDefault="00CA400C" w:rsidP="00CA400C">
      <w:pPr>
        <w:rPr>
          <w:sz w:val="22"/>
          <w:lang w:val="en-GB"/>
        </w:rPr>
      </w:pPr>
      <w:r w:rsidRPr="00AE7E99">
        <w:rPr>
          <w:sz w:val="22"/>
          <w:lang w:val="en-GB"/>
        </w:rPr>
        <w:t xml:space="preserve">The GWP Network of GWP Partners (defined in Article 3 of the Statutes) is organised into groupings of GWP Partners at regional, national </w:t>
      </w:r>
      <w:r w:rsidRPr="00AE7E99">
        <w:rPr>
          <w:sz w:val="22"/>
          <w:lang w:val="en-GB"/>
        </w:rPr>
        <w:lastRenderedPageBreak/>
        <w:t xml:space="preserve">and sub-national level. There are also a number of GWP Partners who interact with GWP at a global level. </w:t>
      </w:r>
    </w:p>
    <w:p w14:paraId="6A3138C8" w14:textId="7E75DA38" w:rsidR="00CA400C" w:rsidRPr="00AE7E99" w:rsidRDefault="00CA400C" w:rsidP="0035695D">
      <w:pPr>
        <w:rPr>
          <w:sz w:val="22"/>
          <w:lang w:val="en-GB"/>
        </w:rPr>
      </w:pPr>
      <w:r w:rsidRPr="00AE7E99">
        <w:rPr>
          <w:sz w:val="22"/>
          <w:lang w:val="en-GB"/>
        </w:rPr>
        <w:t>The Regional and Country Water Partnerships</w:t>
      </w:r>
      <w:r w:rsidR="009067E5" w:rsidRPr="00AE7E99">
        <w:rPr>
          <w:sz w:val="22"/>
          <w:lang w:val="en-GB"/>
        </w:rPr>
        <w:t xml:space="preserve"> are semi-autonomous and </w:t>
      </w:r>
      <w:r w:rsidR="00AE7E99">
        <w:rPr>
          <w:sz w:val="22"/>
          <w:lang w:val="en-GB"/>
        </w:rPr>
        <w:t>each has its</w:t>
      </w:r>
      <w:r w:rsidRPr="00AE7E99">
        <w:rPr>
          <w:sz w:val="22"/>
          <w:lang w:val="en-GB"/>
        </w:rPr>
        <w:t xml:space="preserve"> own governance structures.  General guidelines as to this structure are set out in the </w:t>
      </w:r>
      <w:r w:rsidR="009067E5" w:rsidRPr="00AE7E99">
        <w:rPr>
          <w:sz w:val="22"/>
          <w:lang w:val="en-GB"/>
        </w:rPr>
        <w:t xml:space="preserve">GWP </w:t>
      </w:r>
      <w:r w:rsidRPr="00AE7E99">
        <w:rPr>
          <w:sz w:val="22"/>
          <w:lang w:val="en-GB"/>
        </w:rPr>
        <w:t>Conditi</w:t>
      </w:r>
      <w:r w:rsidR="009067E5" w:rsidRPr="00AE7E99">
        <w:rPr>
          <w:sz w:val="22"/>
          <w:lang w:val="en-GB"/>
        </w:rPr>
        <w:t>ons of Accreditation</w:t>
      </w:r>
      <w:r w:rsidRPr="00AE7E99">
        <w:rPr>
          <w:sz w:val="22"/>
          <w:lang w:val="en-GB"/>
        </w:rPr>
        <w:t xml:space="preserve">.  Each RWP and CWP has their own </w:t>
      </w:r>
      <w:r w:rsidR="00AE7E99" w:rsidRPr="00AE7E99">
        <w:rPr>
          <w:sz w:val="22"/>
          <w:lang w:val="en-GB"/>
        </w:rPr>
        <w:t>Statutes that</w:t>
      </w:r>
      <w:r w:rsidRPr="00AE7E99">
        <w:rPr>
          <w:sz w:val="22"/>
          <w:lang w:val="en-GB"/>
        </w:rPr>
        <w:t xml:space="preserve"> set out their governance bodies and </w:t>
      </w:r>
      <w:r w:rsidR="00AE7E99" w:rsidRPr="00AE7E99">
        <w:rPr>
          <w:sz w:val="22"/>
          <w:lang w:val="en-GB"/>
        </w:rPr>
        <w:t>decision-making</w:t>
      </w:r>
      <w:r w:rsidRPr="00AE7E99">
        <w:rPr>
          <w:sz w:val="22"/>
          <w:lang w:val="en-GB"/>
        </w:rPr>
        <w:t xml:space="preserve"> processes.  They each have an executive body (e.g. a steering committee), a meeting of GWP Partners and a nomination process. They are also required to have a technical committee of experts/advisors. The Statutes should also set out the various official positions to be held within the governance structure with details of length of tenure. A description of how the various regional or country bodies interact with GWPO and the rest of the Network should also be included.</w:t>
      </w:r>
    </w:p>
    <w:p w14:paraId="5B17CF09" w14:textId="2955201C" w:rsidR="00BB5115" w:rsidRPr="00AE7E99" w:rsidRDefault="00BB5115" w:rsidP="009067E5">
      <w:pPr>
        <w:pStyle w:val="Heading4"/>
        <w:rPr>
          <w:lang w:val="en-GB"/>
        </w:rPr>
      </w:pPr>
      <w:r w:rsidRPr="00AE7E99">
        <w:rPr>
          <w:lang w:val="en-GB"/>
        </w:rPr>
        <w:t>2. GWPO</w:t>
      </w:r>
    </w:p>
    <w:p w14:paraId="7B098B4C" w14:textId="466CD1CA" w:rsidR="009067E5" w:rsidRPr="00AE7E99" w:rsidRDefault="009067E5" w:rsidP="009067E5">
      <w:pPr>
        <w:rPr>
          <w:sz w:val="22"/>
          <w:lang w:val="en-GB"/>
        </w:rPr>
      </w:pPr>
      <w:r w:rsidRPr="00AE7E99">
        <w:rPr>
          <w:sz w:val="22"/>
          <w:lang w:val="en-GB"/>
        </w:rPr>
        <w:t>GWPO is an intergovernmental organisation under public international law. Its Statutes put in place a number of governance bodies and processes, further described here below.</w:t>
      </w:r>
    </w:p>
    <w:p w14:paraId="755DAC80" w14:textId="4B67BB04" w:rsidR="0076737D" w:rsidRPr="00AE7E99" w:rsidRDefault="00BB5115" w:rsidP="009067E5">
      <w:pPr>
        <w:pStyle w:val="Heading6"/>
        <w:rPr>
          <w:lang w:val="en-GB"/>
        </w:rPr>
      </w:pPr>
      <w:r w:rsidRPr="00AE7E99">
        <w:rPr>
          <w:lang w:val="en-GB"/>
        </w:rPr>
        <w:lastRenderedPageBreak/>
        <w:t xml:space="preserve">2.1 </w:t>
      </w:r>
      <w:r w:rsidR="0076737D" w:rsidRPr="00AE7E99">
        <w:rPr>
          <w:lang w:val="en-GB"/>
        </w:rPr>
        <w:t xml:space="preserve">The Sponsoring Partners </w:t>
      </w:r>
      <w:r w:rsidRPr="00AE7E99">
        <w:rPr>
          <w:lang w:val="en-GB"/>
        </w:rPr>
        <w:t>M</w:t>
      </w:r>
      <w:r w:rsidR="0076737D" w:rsidRPr="00AE7E99">
        <w:rPr>
          <w:lang w:val="en-GB"/>
        </w:rPr>
        <w:t>eeting</w:t>
      </w:r>
    </w:p>
    <w:p w14:paraId="100C6091" w14:textId="228D25E1" w:rsidR="002F2956" w:rsidRPr="00AE7E99" w:rsidRDefault="002F2956" w:rsidP="002F2956">
      <w:pPr>
        <w:rPr>
          <w:sz w:val="22"/>
          <w:lang w:val="en-GB"/>
        </w:rPr>
      </w:pPr>
      <w:r w:rsidRPr="00AE7E99">
        <w:rPr>
          <w:sz w:val="22"/>
          <w:lang w:val="en-GB"/>
        </w:rPr>
        <w:t>The Sponsoring Partners are described in Article 4 of the Statutes and are the states and int</w:t>
      </w:r>
      <w:r w:rsidR="00AE7E99">
        <w:rPr>
          <w:sz w:val="22"/>
          <w:lang w:val="en-GB"/>
        </w:rPr>
        <w:t>ergovernmental organisations which</w:t>
      </w:r>
      <w:r w:rsidRPr="00AE7E99">
        <w:rPr>
          <w:sz w:val="22"/>
          <w:lang w:val="en-GB"/>
        </w:rPr>
        <w:t xml:space="preserve"> were invited to sign the</w:t>
      </w:r>
      <w:r w:rsidR="009067E5" w:rsidRPr="00AE7E99">
        <w:rPr>
          <w:sz w:val="22"/>
          <w:lang w:val="en-GB"/>
        </w:rPr>
        <w:t xml:space="preserve"> </w:t>
      </w:r>
      <w:proofErr w:type="spellStart"/>
      <w:r w:rsidR="00A138AB" w:rsidRPr="00AE7E99">
        <w:rPr>
          <w:sz w:val="22"/>
          <w:lang w:val="en-GB"/>
        </w:rPr>
        <w:t>MoU</w:t>
      </w:r>
      <w:proofErr w:type="spellEnd"/>
      <w:r w:rsidR="00A138AB" w:rsidRPr="00AE7E99">
        <w:rPr>
          <w:sz w:val="22"/>
          <w:lang w:val="en-GB"/>
        </w:rPr>
        <w:t xml:space="preserve"> on Establishment</w:t>
      </w:r>
      <w:r w:rsidRPr="00AE7E99">
        <w:rPr>
          <w:sz w:val="22"/>
          <w:lang w:val="en-GB"/>
        </w:rPr>
        <w:t xml:space="preserve"> and have become Parties to that </w:t>
      </w:r>
      <w:proofErr w:type="spellStart"/>
      <w:r w:rsidRPr="00AE7E99">
        <w:rPr>
          <w:sz w:val="22"/>
          <w:lang w:val="en-GB"/>
        </w:rPr>
        <w:t>MoU</w:t>
      </w:r>
      <w:proofErr w:type="spellEnd"/>
      <w:r w:rsidRPr="00AE7E99">
        <w:rPr>
          <w:sz w:val="22"/>
          <w:lang w:val="en-GB"/>
        </w:rPr>
        <w:t xml:space="preserve"> on Establishment. The Statutes in Article 4(3) provide that other states and intergovernmental organisations may become Sponsoring Partners by signing the </w:t>
      </w:r>
      <w:proofErr w:type="spellStart"/>
      <w:r w:rsidRPr="00AE7E99">
        <w:rPr>
          <w:sz w:val="22"/>
          <w:lang w:val="en-GB"/>
        </w:rPr>
        <w:t>MoU</w:t>
      </w:r>
      <w:proofErr w:type="spellEnd"/>
      <w:r w:rsidRPr="00AE7E99">
        <w:rPr>
          <w:sz w:val="22"/>
          <w:lang w:val="en-GB"/>
        </w:rPr>
        <w:t xml:space="preserve"> on Establishment.</w:t>
      </w:r>
    </w:p>
    <w:p w14:paraId="45E1454F" w14:textId="77777777" w:rsidR="002F2956" w:rsidRPr="00AE7E99" w:rsidRDefault="002F2956" w:rsidP="002F2956">
      <w:pPr>
        <w:rPr>
          <w:sz w:val="22"/>
          <w:lang w:val="en-GB"/>
        </w:rPr>
      </w:pPr>
      <w:r w:rsidRPr="00AE7E99">
        <w:rPr>
          <w:sz w:val="22"/>
          <w:lang w:val="en-GB"/>
        </w:rPr>
        <w:t>The Meeting of the Sponsoring Partners forms the ultimate governing body of GWPO. It is held once a year unless additional meetings are requested by the GWP Steering Committee or one third of the Sponsoring Partners. At the meeting the Sponsoring Partners:</w:t>
      </w:r>
    </w:p>
    <w:p w14:paraId="6E2CCF19" w14:textId="77777777" w:rsidR="002F2956" w:rsidRPr="00AE7E99" w:rsidRDefault="002F2956" w:rsidP="002F2956">
      <w:pPr>
        <w:numPr>
          <w:ilvl w:val="0"/>
          <w:numId w:val="19"/>
        </w:numPr>
        <w:rPr>
          <w:sz w:val="22"/>
          <w:lang w:val="en-GB"/>
        </w:rPr>
      </w:pPr>
      <w:r w:rsidRPr="00AE7E99">
        <w:rPr>
          <w:sz w:val="22"/>
          <w:lang w:val="en-GB"/>
        </w:rPr>
        <w:t>receive and approve the yearly activity report and financial statements</w:t>
      </w:r>
    </w:p>
    <w:p w14:paraId="4811E566" w14:textId="77777777" w:rsidR="002F2956" w:rsidRPr="00AE7E99" w:rsidRDefault="002F2956" w:rsidP="002F2956">
      <w:pPr>
        <w:numPr>
          <w:ilvl w:val="0"/>
          <w:numId w:val="19"/>
        </w:numPr>
        <w:rPr>
          <w:sz w:val="22"/>
          <w:lang w:val="en-GB"/>
        </w:rPr>
      </w:pPr>
      <w:r w:rsidRPr="00AE7E99">
        <w:rPr>
          <w:sz w:val="22"/>
          <w:lang w:val="en-GB"/>
        </w:rPr>
        <w:t>appoint the Chair of GWP, Steering Committee members, and external and internal auditors</w:t>
      </w:r>
    </w:p>
    <w:p w14:paraId="719A4282" w14:textId="77777777" w:rsidR="002F2956" w:rsidRPr="00AE7E99" w:rsidRDefault="002F2956" w:rsidP="002F2956">
      <w:pPr>
        <w:numPr>
          <w:ilvl w:val="0"/>
          <w:numId w:val="19"/>
        </w:numPr>
        <w:rPr>
          <w:sz w:val="22"/>
          <w:lang w:val="en-GB"/>
        </w:rPr>
      </w:pPr>
      <w:r w:rsidRPr="00AE7E99">
        <w:rPr>
          <w:sz w:val="22"/>
          <w:lang w:val="en-GB"/>
        </w:rPr>
        <w:t>decide the numbers of the Steering Committee</w:t>
      </w:r>
    </w:p>
    <w:p w14:paraId="45F667DE" w14:textId="77777777" w:rsidR="002F2956" w:rsidRPr="00AE7E99" w:rsidRDefault="002F2956" w:rsidP="002F2956">
      <w:pPr>
        <w:numPr>
          <w:ilvl w:val="0"/>
          <w:numId w:val="19"/>
        </w:numPr>
        <w:rPr>
          <w:sz w:val="22"/>
          <w:lang w:val="en-GB"/>
        </w:rPr>
      </w:pPr>
      <w:r w:rsidRPr="00AE7E99">
        <w:rPr>
          <w:sz w:val="22"/>
          <w:lang w:val="en-GB"/>
        </w:rPr>
        <w:t>receive and consider the audit reports</w:t>
      </w:r>
    </w:p>
    <w:p w14:paraId="18FB8631" w14:textId="77777777" w:rsidR="002F2956" w:rsidRPr="00AE7E99" w:rsidRDefault="002F2956" w:rsidP="002F2956">
      <w:pPr>
        <w:numPr>
          <w:ilvl w:val="0"/>
          <w:numId w:val="19"/>
        </w:numPr>
        <w:rPr>
          <w:sz w:val="22"/>
          <w:lang w:val="en-GB"/>
        </w:rPr>
      </w:pPr>
      <w:r w:rsidRPr="00AE7E99">
        <w:rPr>
          <w:sz w:val="22"/>
          <w:lang w:val="en-GB"/>
        </w:rPr>
        <w:t>discharge the Steering Committee of liability</w:t>
      </w:r>
    </w:p>
    <w:p w14:paraId="38FD95D4" w14:textId="6DEC9FCF" w:rsidR="002F2956" w:rsidRPr="00AE7E99" w:rsidRDefault="002F2956" w:rsidP="0098494A">
      <w:pPr>
        <w:numPr>
          <w:ilvl w:val="0"/>
          <w:numId w:val="19"/>
        </w:numPr>
        <w:rPr>
          <w:sz w:val="22"/>
          <w:lang w:val="en-GB"/>
        </w:rPr>
      </w:pPr>
      <w:r w:rsidRPr="00AE7E99">
        <w:rPr>
          <w:sz w:val="22"/>
          <w:lang w:val="en-GB"/>
        </w:rPr>
        <w:t>approve new Sponsoring Partners</w:t>
      </w:r>
    </w:p>
    <w:p w14:paraId="759489EA" w14:textId="23A50D82" w:rsidR="002F2956" w:rsidRPr="00AE7E99" w:rsidRDefault="002F2956" w:rsidP="002F2956">
      <w:pPr>
        <w:rPr>
          <w:sz w:val="22"/>
          <w:lang w:val="en-GB"/>
        </w:rPr>
      </w:pPr>
      <w:r w:rsidRPr="00AE7E99">
        <w:rPr>
          <w:sz w:val="22"/>
          <w:lang w:val="en-GB"/>
        </w:rPr>
        <w:lastRenderedPageBreak/>
        <w:t>In essence the Meeting of the Sponsoring Partners puts in place the individuals/entities (Steering Committee and auditors) responsible for the strategic, implementation and fiduciary oversight through a separate body (Nomination Committee).  The Meeting of the Sponsoring Partners provides the legal legitimacy for the organisation. Each Sponsoring Partner has one vote and decisions are taken by simple majority of the present and voting Sponsoring Partners. A quorum of at least half of the Sponsoring Partners plus one is needed.</w:t>
      </w:r>
    </w:p>
    <w:p w14:paraId="5E7BDE87" w14:textId="77777777" w:rsidR="002F2956" w:rsidRPr="00AE7E99" w:rsidRDefault="002F2956" w:rsidP="002F2956">
      <w:pPr>
        <w:rPr>
          <w:sz w:val="22"/>
          <w:lang w:val="en-GB"/>
        </w:rPr>
      </w:pPr>
      <w:r w:rsidRPr="00AE7E99">
        <w:rPr>
          <w:sz w:val="22"/>
          <w:lang w:val="en-GB"/>
        </w:rPr>
        <w:t xml:space="preserve">The Chair of the Sponsoring Partners participates in the selection of Nomination Committee members (Section 9 of the Steering Committee Rules of Conduct) and is appointed for a three year period by the Sponsoring Partners at the Sponsoring Partners Meeting. </w:t>
      </w:r>
    </w:p>
    <w:p w14:paraId="2A335CF8" w14:textId="77777777" w:rsidR="00EB1A49" w:rsidRPr="00AE7E99" w:rsidRDefault="002F2956" w:rsidP="002F2956">
      <w:pPr>
        <w:rPr>
          <w:sz w:val="22"/>
          <w:lang w:val="en-GB"/>
        </w:rPr>
      </w:pPr>
      <w:r w:rsidRPr="00AE7E99">
        <w:rPr>
          <w:sz w:val="22"/>
          <w:lang w:val="en-GB"/>
        </w:rPr>
        <w:t>The Sponsoring Partners are mostly represented by diplomatic missions in Sweden, Ministries of Foreign Affairs as well as some national development agencies.</w:t>
      </w:r>
    </w:p>
    <w:p w14:paraId="23B24879" w14:textId="66481F77" w:rsidR="00EB1A49" w:rsidRPr="00AE7E99" w:rsidRDefault="00EB1A49" w:rsidP="00A138AB">
      <w:pPr>
        <w:pStyle w:val="Heading5"/>
        <w:rPr>
          <w:lang w:val="en-GB"/>
        </w:rPr>
      </w:pPr>
      <w:r w:rsidRPr="00AE7E99">
        <w:rPr>
          <w:lang w:val="en-GB"/>
        </w:rPr>
        <w:t>2.2 Nomination Committee</w:t>
      </w:r>
    </w:p>
    <w:p w14:paraId="46352E4B" w14:textId="77777777" w:rsidR="00EB1A49" w:rsidRPr="00AE7E99" w:rsidRDefault="00EB1A49" w:rsidP="00EB1A49">
      <w:pPr>
        <w:rPr>
          <w:sz w:val="22"/>
          <w:lang w:val="en-GB"/>
        </w:rPr>
      </w:pPr>
      <w:r w:rsidRPr="00AE7E99">
        <w:rPr>
          <w:sz w:val="22"/>
          <w:lang w:val="en-GB"/>
        </w:rPr>
        <w:t xml:space="preserve">The Nomination Committee nominates candidates for the various positions of the governance bodies of GWPO and reports to the Sponsoring Partners Meeting. It nominates candidates to the Sponsoring Partners Meeting for appointment, based on guidelines provided by the By-Laws </w:t>
      </w:r>
      <w:r w:rsidRPr="00AE7E99">
        <w:rPr>
          <w:sz w:val="22"/>
          <w:lang w:val="en-GB"/>
        </w:rPr>
        <w:lastRenderedPageBreak/>
        <w:t>which are approved by the Sponsoring Partners. The Nomination Committee selects candidates for the following:</w:t>
      </w:r>
    </w:p>
    <w:p w14:paraId="013DC226" w14:textId="77777777" w:rsidR="00EB1A49" w:rsidRPr="00AE7E99" w:rsidRDefault="00EB1A49" w:rsidP="00EB1A49">
      <w:pPr>
        <w:numPr>
          <w:ilvl w:val="0"/>
          <w:numId w:val="20"/>
        </w:numPr>
        <w:rPr>
          <w:sz w:val="22"/>
          <w:lang w:val="en-GB"/>
        </w:rPr>
      </w:pPr>
      <w:r w:rsidRPr="00AE7E99">
        <w:rPr>
          <w:sz w:val="22"/>
          <w:lang w:val="en-GB"/>
        </w:rPr>
        <w:t>Chair of GWP</w:t>
      </w:r>
    </w:p>
    <w:p w14:paraId="394DE98C" w14:textId="77777777" w:rsidR="00EB1A49" w:rsidRPr="00AE7E99" w:rsidRDefault="00EB1A49" w:rsidP="00EB1A49">
      <w:pPr>
        <w:numPr>
          <w:ilvl w:val="0"/>
          <w:numId w:val="20"/>
        </w:numPr>
        <w:rPr>
          <w:sz w:val="22"/>
          <w:lang w:val="en-GB"/>
        </w:rPr>
      </w:pPr>
      <w:r w:rsidRPr="00AE7E99">
        <w:rPr>
          <w:sz w:val="22"/>
          <w:lang w:val="en-GB"/>
        </w:rPr>
        <w:t>Members of the Steering Committee</w:t>
      </w:r>
    </w:p>
    <w:p w14:paraId="7D056D1C" w14:textId="77777777" w:rsidR="00EB1A49" w:rsidRPr="00AE7E99" w:rsidRDefault="00EB1A49" w:rsidP="00EB1A49">
      <w:pPr>
        <w:numPr>
          <w:ilvl w:val="0"/>
          <w:numId w:val="20"/>
        </w:numPr>
        <w:rPr>
          <w:sz w:val="22"/>
          <w:lang w:val="en-GB"/>
        </w:rPr>
      </w:pPr>
      <w:r w:rsidRPr="00AE7E99">
        <w:rPr>
          <w:sz w:val="22"/>
          <w:lang w:val="en-GB"/>
        </w:rPr>
        <w:t>External Auditors</w:t>
      </w:r>
    </w:p>
    <w:p w14:paraId="5437BAE4" w14:textId="5AD40FD7" w:rsidR="00EB1A49" w:rsidRPr="00AE7E99" w:rsidRDefault="00EB1A49" w:rsidP="00EB1A49">
      <w:pPr>
        <w:rPr>
          <w:sz w:val="22"/>
          <w:lang w:val="en-GB"/>
        </w:rPr>
      </w:pPr>
      <w:r w:rsidRPr="00AE7E99">
        <w:rPr>
          <w:sz w:val="22"/>
          <w:lang w:val="en-GB"/>
        </w:rPr>
        <w:t>The Nomination Committee currently consists of five members who are appointed by the Steering Committee. Decisions are taken by consensus or if consensus cannot be reached, by a two-thirds majority. The Steering Committee’s Rules of Conduct, section 9 state that the Steering Committee appoints the Nomination Committee members and sets out the selection process. In an effort to provide distance between the Steering Committee and the selection of the Nomination Committee members, selection of Nomination Committee members for appointment is done by a committee comprising the Chair of the Sponsoring Partners Meeting, GWP Chair and the Nomination Committee Chair, as approved by the Meeting of the Sponsoring Partners. (August 2011).</w:t>
      </w:r>
    </w:p>
    <w:p w14:paraId="7D249C40" w14:textId="12675913" w:rsidR="00EB1A49" w:rsidRPr="00AE7E99" w:rsidRDefault="00EB1A49" w:rsidP="00A138AB">
      <w:pPr>
        <w:pStyle w:val="Heading5"/>
        <w:rPr>
          <w:lang w:val="en-GB"/>
        </w:rPr>
      </w:pPr>
      <w:r w:rsidRPr="00AE7E99">
        <w:rPr>
          <w:lang w:val="en-GB"/>
        </w:rPr>
        <w:t>2.3 Steering Committee</w:t>
      </w:r>
    </w:p>
    <w:p w14:paraId="01585CDB" w14:textId="77777777" w:rsidR="00405B65" w:rsidRDefault="00EB1A49" w:rsidP="00EB1A49">
      <w:pPr>
        <w:rPr>
          <w:sz w:val="22"/>
          <w:lang w:val="en-GB"/>
        </w:rPr>
      </w:pPr>
      <w:r w:rsidRPr="00AE7E99">
        <w:rPr>
          <w:sz w:val="22"/>
          <w:lang w:val="en-GB"/>
        </w:rPr>
        <w:t xml:space="preserve">The Steering Committee is the executive body of GWPO and also provides guidance to the Partners of the Network in order to facilitate for </w:t>
      </w:r>
      <w:r w:rsidRPr="00AE7E99">
        <w:rPr>
          <w:sz w:val="22"/>
          <w:lang w:val="en-GB"/>
        </w:rPr>
        <w:lastRenderedPageBreak/>
        <w:t>the Network to implement the strategic directions and policies adopted by the Network Meeting. It therefore has a number of tasks within these two roles. It reports to the Sponsoring Partners and the Partners of the Network.</w:t>
      </w:r>
      <w:r w:rsidR="00405B65">
        <w:rPr>
          <w:sz w:val="22"/>
          <w:lang w:val="en-GB"/>
        </w:rPr>
        <w:t xml:space="preserve"> </w:t>
      </w:r>
    </w:p>
    <w:p w14:paraId="5B2D4504" w14:textId="77777777" w:rsidR="00EB1A49" w:rsidRPr="00AE7E99" w:rsidRDefault="00EB1A49" w:rsidP="00EB1A49">
      <w:pPr>
        <w:rPr>
          <w:sz w:val="22"/>
          <w:lang w:val="en-GB"/>
        </w:rPr>
      </w:pPr>
      <w:r w:rsidRPr="00AE7E99">
        <w:rPr>
          <w:sz w:val="22"/>
          <w:lang w:val="en-GB"/>
        </w:rPr>
        <w:t>The Steering Committee shall:</w:t>
      </w:r>
    </w:p>
    <w:p w14:paraId="72BD9154" w14:textId="77777777" w:rsidR="00EB1A49" w:rsidRPr="00AE7E99" w:rsidRDefault="00EB1A49" w:rsidP="00EB1A49">
      <w:pPr>
        <w:numPr>
          <w:ilvl w:val="0"/>
          <w:numId w:val="21"/>
        </w:numPr>
        <w:rPr>
          <w:sz w:val="22"/>
          <w:lang w:val="en-GB"/>
        </w:rPr>
      </w:pPr>
      <w:r w:rsidRPr="00AE7E99">
        <w:rPr>
          <w:sz w:val="22"/>
          <w:lang w:val="en-GB"/>
        </w:rPr>
        <w:t>Develop the policy of the Network and the work of the Organisation in support of the Network, taking into account the strategic directions and policies adopted by the Network Meeting;</w:t>
      </w:r>
    </w:p>
    <w:p w14:paraId="761DC3BC" w14:textId="6EB6A33B" w:rsidR="00EB1A49" w:rsidRPr="00AE7E99" w:rsidRDefault="00EB1A49" w:rsidP="00EB1A49">
      <w:pPr>
        <w:numPr>
          <w:ilvl w:val="0"/>
          <w:numId w:val="21"/>
        </w:numPr>
        <w:rPr>
          <w:sz w:val="22"/>
          <w:lang w:val="en-GB"/>
        </w:rPr>
      </w:pPr>
      <w:r w:rsidRPr="00AE7E99">
        <w:rPr>
          <w:sz w:val="22"/>
          <w:lang w:val="en-GB"/>
        </w:rPr>
        <w:t>Create and appoint a Technical Committee and appoint such other committees or groups as it finds necessary for the performance of its functions, and review their work;</w:t>
      </w:r>
    </w:p>
    <w:p w14:paraId="6EEAEC6B" w14:textId="77777777" w:rsidR="00EB1A49" w:rsidRPr="00AE7E99" w:rsidRDefault="00EB1A49" w:rsidP="00EB1A49">
      <w:pPr>
        <w:numPr>
          <w:ilvl w:val="0"/>
          <w:numId w:val="21"/>
        </w:numPr>
        <w:rPr>
          <w:sz w:val="22"/>
          <w:lang w:val="en-GB"/>
        </w:rPr>
      </w:pPr>
      <w:r w:rsidRPr="00AE7E99">
        <w:rPr>
          <w:sz w:val="22"/>
          <w:lang w:val="en-GB"/>
        </w:rPr>
        <w:t>Issue by-laws, work-plans, budgets and instructions for the Organisation and for groups and committees that have been established by it;</w:t>
      </w:r>
    </w:p>
    <w:p w14:paraId="5DBB45FE" w14:textId="77777777" w:rsidR="00EB1A49" w:rsidRPr="00AE7E99" w:rsidRDefault="00EB1A49" w:rsidP="00EB1A49">
      <w:pPr>
        <w:numPr>
          <w:ilvl w:val="0"/>
          <w:numId w:val="21"/>
        </w:numPr>
        <w:rPr>
          <w:sz w:val="22"/>
          <w:lang w:val="en-GB"/>
        </w:rPr>
      </w:pPr>
      <w:r w:rsidRPr="00AE7E99">
        <w:rPr>
          <w:sz w:val="22"/>
          <w:lang w:val="en-GB"/>
        </w:rPr>
        <w:t xml:space="preserve">Decide on proposals and recommendations from such committees and groups, unless such proposals must be submitted to the Network Meeting or the Meeting of the Sponsoring Partners; </w:t>
      </w:r>
    </w:p>
    <w:p w14:paraId="74791868" w14:textId="77777777" w:rsidR="00EB1A49" w:rsidRPr="00AE7E99" w:rsidRDefault="00EB1A49" w:rsidP="00EB1A49">
      <w:pPr>
        <w:numPr>
          <w:ilvl w:val="0"/>
          <w:numId w:val="21"/>
        </w:numPr>
        <w:rPr>
          <w:sz w:val="22"/>
          <w:lang w:val="en-GB"/>
        </w:rPr>
      </w:pPr>
      <w:r w:rsidRPr="00AE7E99">
        <w:rPr>
          <w:sz w:val="22"/>
          <w:lang w:val="en-GB"/>
        </w:rPr>
        <w:t xml:space="preserve">Appoint the members of the Nomination Committee, taking into account this Committee’s task to find candidates which reflect a </w:t>
      </w:r>
      <w:r w:rsidRPr="00AE7E99">
        <w:rPr>
          <w:sz w:val="22"/>
          <w:lang w:val="en-GB"/>
        </w:rPr>
        <w:lastRenderedPageBreak/>
        <w:t xml:space="preserve">balance in terms of professional background, geographical representation, gender and level of development of the person’s home State; </w:t>
      </w:r>
    </w:p>
    <w:p w14:paraId="64AA46A4" w14:textId="77777777" w:rsidR="00EB1A49" w:rsidRPr="00AE7E99" w:rsidRDefault="00EB1A49" w:rsidP="00EB1A49">
      <w:pPr>
        <w:numPr>
          <w:ilvl w:val="0"/>
          <w:numId w:val="21"/>
        </w:numPr>
        <w:rPr>
          <w:sz w:val="22"/>
          <w:lang w:val="en-GB"/>
        </w:rPr>
      </w:pPr>
      <w:r w:rsidRPr="00AE7E99">
        <w:rPr>
          <w:sz w:val="22"/>
          <w:lang w:val="en-GB"/>
        </w:rPr>
        <w:t>Decide on recruitment, appointment and removal of the Executive Secretary;</w:t>
      </w:r>
    </w:p>
    <w:p w14:paraId="7364DAF7" w14:textId="77777777" w:rsidR="00EB1A49" w:rsidRPr="00AE7E99" w:rsidRDefault="00EB1A49" w:rsidP="00EB1A49">
      <w:pPr>
        <w:numPr>
          <w:ilvl w:val="0"/>
          <w:numId w:val="21"/>
        </w:numPr>
        <w:rPr>
          <w:sz w:val="22"/>
          <w:lang w:val="en-GB"/>
        </w:rPr>
      </w:pPr>
      <w:r w:rsidRPr="00AE7E99">
        <w:rPr>
          <w:sz w:val="22"/>
          <w:lang w:val="en-GB"/>
        </w:rPr>
        <w:t>Recommend new Sponsoring Partners to be approved by the Meeting of the Sponsoring Partners;</w:t>
      </w:r>
    </w:p>
    <w:p w14:paraId="7F312A51" w14:textId="77777777" w:rsidR="00EB1A49" w:rsidRPr="00AE7E99" w:rsidRDefault="00EB1A49" w:rsidP="00EB1A49">
      <w:pPr>
        <w:numPr>
          <w:ilvl w:val="0"/>
          <w:numId w:val="21"/>
        </w:numPr>
        <w:rPr>
          <w:sz w:val="22"/>
          <w:lang w:val="en-GB"/>
        </w:rPr>
      </w:pPr>
      <w:r w:rsidRPr="00AE7E99">
        <w:rPr>
          <w:sz w:val="22"/>
          <w:lang w:val="en-GB"/>
        </w:rPr>
        <w:t xml:space="preserve">Supervise that Partners respect the principles of the Network and recommend to the Network Meeting the expulsion of a Partner in case of a violation of these principles; </w:t>
      </w:r>
    </w:p>
    <w:p w14:paraId="1C31578B" w14:textId="68B69AF9" w:rsidR="00EB1A49" w:rsidRPr="00AE7E99" w:rsidRDefault="00EB1A49" w:rsidP="00EB1A49">
      <w:pPr>
        <w:numPr>
          <w:ilvl w:val="0"/>
          <w:numId w:val="21"/>
        </w:numPr>
        <w:rPr>
          <w:sz w:val="22"/>
          <w:lang w:val="en-GB"/>
        </w:rPr>
      </w:pPr>
      <w:r w:rsidRPr="00AE7E99">
        <w:rPr>
          <w:sz w:val="22"/>
          <w:lang w:val="en-GB"/>
        </w:rPr>
        <w:t xml:space="preserve">If necessary, recommend amendments to these Statutes;  </w:t>
      </w:r>
    </w:p>
    <w:p w14:paraId="2BF83B8D" w14:textId="77777777" w:rsidR="00EB1A49" w:rsidRPr="00AE7E99" w:rsidRDefault="00EB1A49" w:rsidP="00EB1A49">
      <w:pPr>
        <w:numPr>
          <w:ilvl w:val="0"/>
          <w:numId w:val="21"/>
        </w:numPr>
        <w:rPr>
          <w:sz w:val="22"/>
          <w:lang w:val="en-GB"/>
        </w:rPr>
      </w:pPr>
      <w:r w:rsidRPr="00AE7E99">
        <w:rPr>
          <w:sz w:val="22"/>
          <w:lang w:val="en-GB"/>
        </w:rPr>
        <w:t>Establish links with and accredit Regional Water Partnerships, and Country Water Partnerships, and authorise such and other entities to use the name “Global Water Partnership” as part of their name or in a similar manner to indicate stronger links than normal partnership;</w:t>
      </w:r>
    </w:p>
    <w:p w14:paraId="6D1151B5" w14:textId="10CF7422" w:rsidR="00EB1A49" w:rsidRPr="00AE7E99" w:rsidRDefault="00EB1A49" w:rsidP="00EB1A49">
      <w:pPr>
        <w:numPr>
          <w:ilvl w:val="0"/>
          <w:numId w:val="21"/>
        </w:numPr>
        <w:rPr>
          <w:sz w:val="22"/>
          <w:lang w:val="en-GB"/>
        </w:rPr>
      </w:pPr>
      <w:r w:rsidRPr="00AE7E99">
        <w:rPr>
          <w:sz w:val="22"/>
          <w:lang w:val="en-GB"/>
        </w:rPr>
        <w:t xml:space="preserve">Convene the Network Meeting and Meeting of the Sponsoring Partners in accordance with these Statutes; </w:t>
      </w:r>
    </w:p>
    <w:p w14:paraId="465A350C" w14:textId="77777777" w:rsidR="00EB1A49" w:rsidRPr="00AE7E99" w:rsidRDefault="00EB1A49" w:rsidP="00EB1A49">
      <w:pPr>
        <w:numPr>
          <w:ilvl w:val="0"/>
          <w:numId w:val="21"/>
        </w:numPr>
        <w:rPr>
          <w:sz w:val="22"/>
          <w:lang w:val="en-GB"/>
        </w:rPr>
      </w:pPr>
      <w:r w:rsidRPr="00AE7E99">
        <w:rPr>
          <w:sz w:val="22"/>
          <w:lang w:val="en-GB"/>
        </w:rPr>
        <w:lastRenderedPageBreak/>
        <w:t>Present a yearly activity report to the Partners and the Sponsoring Partners;</w:t>
      </w:r>
    </w:p>
    <w:p w14:paraId="0DB1DBE3" w14:textId="77777777" w:rsidR="00EB1A49" w:rsidRPr="00AE7E99" w:rsidRDefault="00EB1A49" w:rsidP="00EB1A49">
      <w:pPr>
        <w:numPr>
          <w:ilvl w:val="0"/>
          <w:numId w:val="21"/>
        </w:numPr>
        <w:rPr>
          <w:sz w:val="22"/>
          <w:lang w:val="en-GB"/>
        </w:rPr>
      </w:pPr>
      <w:r w:rsidRPr="00AE7E99">
        <w:rPr>
          <w:sz w:val="22"/>
          <w:lang w:val="en-GB"/>
        </w:rPr>
        <w:t>Present a yearly financial statement to the Partners for information and to the Sponsoring Partners for approval at the Meeting of Sponsoring Partners;</w:t>
      </w:r>
    </w:p>
    <w:p w14:paraId="7B4D54B9" w14:textId="0329CF0B" w:rsidR="00EB1A49" w:rsidRPr="00AE7E99" w:rsidRDefault="00EB1A49" w:rsidP="00EB1A49">
      <w:pPr>
        <w:numPr>
          <w:ilvl w:val="0"/>
          <w:numId w:val="21"/>
        </w:numPr>
        <w:rPr>
          <w:sz w:val="22"/>
          <w:lang w:val="en-GB"/>
        </w:rPr>
      </w:pPr>
      <w:r w:rsidRPr="00AE7E99">
        <w:rPr>
          <w:sz w:val="22"/>
          <w:lang w:val="en-GB"/>
        </w:rPr>
        <w:t xml:space="preserve">Comment on and distribute the audit report or reports to the Partners and to the Meeting of Sponsoring Partners. </w:t>
      </w:r>
    </w:p>
    <w:p w14:paraId="60B8456D" w14:textId="169C4371" w:rsidR="00EB1A49" w:rsidRPr="00AE7E99" w:rsidRDefault="00EB1A49" w:rsidP="00EB1A49">
      <w:pPr>
        <w:rPr>
          <w:sz w:val="22"/>
          <w:lang w:val="en-GB"/>
        </w:rPr>
      </w:pPr>
      <w:r w:rsidRPr="00AE7E99">
        <w:rPr>
          <w:sz w:val="22"/>
          <w:lang w:val="en-GB"/>
        </w:rPr>
        <w:t>The SC membership was revised in line with the findings of the External Evaluation of GWP carried out in 2008</w:t>
      </w:r>
      <w:r w:rsidRPr="00AE7E99">
        <w:rPr>
          <w:sz w:val="22"/>
          <w:vertAlign w:val="superscript"/>
          <w:lang w:val="en-GB"/>
        </w:rPr>
        <w:footnoteReference w:id="2"/>
      </w:r>
      <w:r w:rsidRPr="00AE7E99">
        <w:rPr>
          <w:sz w:val="22"/>
          <w:lang w:val="en-GB"/>
        </w:rPr>
        <w:t xml:space="preserve">. The Steering Committee currently has seventeen members. There are five ex-officio members (Chair, ES, Technical Committee Chair, Chair of Regional Chairs, UN Water Chair/Representative) and twelve appointed members, six from a regional pool and six from a global pool of which 3 have to be non-water professionals. The members all serve the Organization in their personal capacity. A quorum of at least half its members plus one is needed and decisions are taken by simple majority. There are criteria in </w:t>
      </w:r>
      <w:r w:rsidRPr="00AE7E99">
        <w:rPr>
          <w:sz w:val="22"/>
          <w:lang w:val="en-GB"/>
        </w:rPr>
        <w:lastRenderedPageBreak/>
        <w:t>place to ensure that the Steering Committee reflects a balance in relation to professional background, geographical representation, gender and level of development of the members’ countries.</w:t>
      </w:r>
      <w:r w:rsidRPr="00AE7E99">
        <w:rPr>
          <w:sz w:val="22"/>
          <w:vertAlign w:val="superscript"/>
          <w:lang w:val="en-GB"/>
        </w:rPr>
        <w:footnoteReference w:id="3"/>
      </w:r>
      <w:r w:rsidRPr="00AE7E99">
        <w:rPr>
          <w:sz w:val="22"/>
          <w:lang w:val="en-GB"/>
        </w:rPr>
        <w:t xml:space="preserve">   </w:t>
      </w:r>
    </w:p>
    <w:p w14:paraId="184C4922" w14:textId="77777777" w:rsidR="00EB1A49" w:rsidRDefault="00EB1A49" w:rsidP="00EB1A49">
      <w:pPr>
        <w:rPr>
          <w:sz w:val="22"/>
          <w:lang w:val="en-GB"/>
        </w:rPr>
      </w:pPr>
      <w:r w:rsidRPr="00AE7E99">
        <w:rPr>
          <w:sz w:val="22"/>
          <w:lang w:val="en-GB"/>
        </w:rPr>
        <w:t>The procedure for nominations for candidates is set out in detail in the Nomination Committee by-laws. All candidates are sent to the Partners of the Network for their comments before the final nominations are presented to the Sponsoring Partners.</w:t>
      </w:r>
    </w:p>
    <w:p w14:paraId="6C90D1E3" w14:textId="278A547C" w:rsidR="00EB1A49" w:rsidRPr="00AE7E99" w:rsidRDefault="00AE5F3F" w:rsidP="00A138AB">
      <w:pPr>
        <w:pStyle w:val="Heading5"/>
        <w:rPr>
          <w:lang w:val="en-GB"/>
        </w:rPr>
      </w:pPr>
      <w:r w:rsidRPr="00AE7E99">
        <w:rPr>
          <w:lang w:val="en-GB"/>
        </w:rPr>
        <w:t>2.4 Senior</w:t>
      </w:r>
      <w:r w:rsidR="003E5127">
        <w:rPr>
          <w:lang w:val="en-GB"/>
        </w:rPr>
        <w:t xml:space="preserve"> </w:t>
      </w:r>
      <w:r w:rsidR="000403A0" w:rsidRPr="00AE7E99">
        <w:rPr>
          <w:lang w:val="en-GB"/>
        </w:rPr>
        <w:t>Leadership</w:t>
      </w:r>
      <w:r w:rsidR="00453164">
        <w:rPr>
          <w:lang w:val="en-GB"/>
        </w:rPr>
        <w:t xml:space="preserve"> roles</w:t>
      </w:r>
      <w:r w:rsidR="000403A0" w:rsidRPr="00AE7E99">
        <w:rPr>
          <w:lang w:val="en-GB"/>
        </w:rPr>
        <w:t xml:space="preserve"> (</w:t>
      </w:r>
      <w:r w:rsidR="003E5127">
        <w:rPr>
          <w:lang w:val="en-GB"/>
        </w:rPr>
        <w:t xml:space="preserve">GWP Chair, Chair of the </w:t>
      </w:r>
      <w:r w:rsidR="003E5127" w:rsidRPr="00AE7E99">
        <w:rPr>
          <w:lang w:val="en-GB"/>
        </w:rPr>
        <w:t xml:space="preserve">Technical Committee </w:t>
      </w:r>
      <w:r w:rsidR="000403A0" w:rsidRPr="00AE7E99">
        <w:rPr>
          <w:lang w:val="en-GB"/>
        </w:rPr>
        <w:t xml:space="preserve">Executive Secretary, </w:t>
      </w:r>
      <w:r w:rsidR="0037593D">
        <w:rPr>
          <w:lang w:val="en-GB"/>
        </w:rPr>
        <w:t>Deputy Executive Secretary,</w:t>
      </w:r>
      <w:r w:rsidR="000403A0" w:rsidRPr="00AE7E99">
        <w:rPr>
          <w:lang w:val="en-GB"/>
        </w:rPr>
        <w:t>)</w:t>
      </w:r>
    </w:p>
    <w:p w14:paraId="2ACF6DB7" w14:textId="12CCCDED" w:rsidR="003E5127" w:rsidRDefault="003E5127" w:rsidP="0035695D">
      <w:pPr>
        <w:rPr>
          <w:sz w:val="22"/>
          <w:lang w:val="en-GB"/>
        </w:rPr>
      </w:pPr>
      <w:r>
        <w:rPr>
          <w:sz w:val="22"/>
          <w:lang w:val="en-GB"/>
        </w:rPr>
        <w:t>The GWP Network has a number of senior leadership roles, some of which are non-executive</w:t>
      </w:r>
      <w:r w:rsidR="00CA3CCE">
        <w:rPr>
          <w:sz w:val="22"/>
          <w:lang w:val="en-GB"/>
        </w:rPr>
        <w:t xml:space="preserve"> (GWP Chair and Chair of Technical Committee)</w:t>
      </w:r>
      <w:r>
        <w:rPr>
          <w:sz w:val="22"/>
          <w:lang w:val="en-GB"/>
        </w:rPr>
        <w:t>.</w:t>
      </w:r>
    </w:p>
    <w:p w14:paraId="46A1EC13" w14:textId="77777777" w:rsidR="003E5127" w:rsidRPr="003E5127" w:rsidRDefault="003E5127" w:rsidP="003E5127">
      <w:pPr>
        <w:rPr>
          <w:sz w:val="22"/>
          <w:lang w:val="en-GB"/>
        </w:rPr>
      </w:pPr>
      <w:r w:rsidRPr="003E5127">
        <w:rPr>
          <w:sz w:val="22"/>
          <w:lang w:val="en-GB"/>
        </w:rPr>
        <w:t xml:space="preserve">The GWP Chair is the head and spokesperson for the GWP Network as well as the GWPO (Article 6). The Chair is appointed by the Sponsoring Partners for a period of three years, renewable once. The GWP Chair </w:t>
      </w:r>
      <w:r w:rsidRPr="003E5127">
        <w:rPr>
          <w:sz w:val="22"/>
          <w:lang w:val="en-GB"/>
        </w:rPr>
        <w:lastRenderedPageBreak/>
        <w:t>also chairs the Steering Committee Meetings and the Network Meeting. Other main tasks of the GWP Chair is to:</w:t>
      </w:r>
    </w:p>
    <w:p w14:paraId="4CEA7689" w14:textId="77777777" w:rsidR="003E5127" w:rsidRPr="003E5127" w:rsidRDefault="003E5127" w:rsidP="003E5127">
      <w:pPr>
        <w:numPr>
          <w:ilvl w:val="0"/>
          <w:numId w:val="25"/>
        </w:numPr>
        <w:tabs>
          <w:tab w:val="num" w:pos="432"/>
        </w:tabs>
        <w:rPr>
          <w:sz w:val="22"/>
        </w:rPr>
      </w:pPr>
      <w:r w:rsidRPr="003E5127">
        <w:rPr>
          <w:sz w:val="22"/>
        </w:rPr>
        <w:t xml:space="preserve">Guide GWP in achieving its mission within the context of using water to contribute to poverty eradication and sustainable development.  </w:t>
      </w:r>
    </w:p>
    <w:p w14:paraId="7004CAAE" w14:textId="3D93C0A1" w:rsidR="003E5127" w:rsidRPr="00AE5F3F" w:rsidRDefault="003E5127" w:rsidP="003E5127">
      <w:pPr>
        <w:numPr>
          <w:ilvl w:val="0"/>
          <w:numId w:val="25"/>
        </w:numPr>
        <w:rPr>
          <w:sz w:val="22"/>
        </w:rPr>
      </w:pPr>
      <w:r w:rsidRPr="003E5127">
        <w:rPr>
          <w:sz w:val="22"/>
        </w:rPr>
        <w:t>Provide guidance on the role of GWP and GWPO in working to move from development of integrated water resource management plans to implementation of the plans at all levels (national, regional and local).</w:t>
      </w:r>
    </w:p>
    <w:p w14:paraId="02E06A67" w14:textId="77777777" w:rsidR="003E5127" w:rsidRPr="003E5127" w:rsidRDefault="003E5127" w:rsidP="003E5127">
      <w:pPr>
        <w:numPr>
          <w:ilvl w:val="0"/>
          <w:numId w:val="25"/>
        </w:numPr>
        <w:rPr>
          <w:sz w:val="22"/>
        </w:rPr>
      </w:pPr>
      <w:r w:rsidRPr="003E5127">
        <w:rPr>
          <w:sz w:val="22"/>
        </w:rPr>
        <w:t xml:space="preserve">Ensure that the Secretariat establishes effective control and coordination mechanisms for all operations and activities by helping to formulate and recommend goals, strategies, and objectives, and that the Executive Secretary takes reasonable steps to ensure the integrity of the internal control and management information systems that ensure the long-term success of GWP. </w:t>
      </w:r>
    </w:p>
    <w:p w14:paraId="765EA830" w14:textId="77777777" w:rsidR="003E5127" w:rsidRPr="003E5127" w:rsidRDefault="003E5127" w:rsidP="003E5127">
      <w:pPr>
        <w:numPr>
          <w:ilvl w:val="0"/>
          <w:numId w:val="25"/>
        </w:numPr>
        <w:rPr>
          <w:sz w:val="22"/>
        </w:rPr>
      </w:pPr>
      <w:r w:rsidRPr="003E5127">
        <w:rPr>
          <w:sz w:val="22"/>
        </w:rPr>
        <w:t>Review that all strategic operations and activities of the GWP are conducted in accordance with laws, regulations, and the other policies and practices approved by the Steering Committee.</w:t>
      </w:r>
    </w:p>
    <w:p w14:paraId="52086534" w14:textId="1F2A623C" w:rsidR="003E5127" w:rsidRPr="00AE5F3F" w:rsidRDefault="003E5127" w:rsidP="00AE5F3F">
      <w:pPr>
        <w:numPr>
          <w:ilvl w:val="0"/>
          <w:numId w:val="25"/>
        </w:numPr>
        <w:rPr>
          <w:sz w:val="22"/>
        </w:rPr>
      </w:pPr>
      <w:r w:rsidRPr="003E5127">
        <w:rPr>
          <w:sz w:val="22"/>
        </w:rPr>
        <w:lastRenderedPageBreak/>
        <w:t xml:space="preserve">Build partnerships and work collaboratively with other international </w:t>
      </w:r>
      <w:proofErr w:type="spellStart"/>
      <w:r w:rsidRPr="003E5127">
        <w:rPr>
          <w:sz w:val="22"/>
        </w:rPr>
        <w:t>organisations</w:t>
      </w:r>
      <w:proofErr w:type="spellEnd"/>
      <w:r w:rsidRPr="003E5127">
        <w:rPr>
          <w:sz w:val="22"/>
        </w:rPr>
        <w:t xml:space="preserve"> and donor institutions.</w:t>
      </w:r>
    </w:p>
    <w:p w14:paraId="641CCBBD" w14:textId="71B76197" w:rsidR="003E5127" w:rsidRPr="00AE5F3F" w:rsidRDefault="003E5127" w:rsidP="00AE5F3F">
      <w:pPr>
        <w:rPr>
          <w:sz w:val="22"/>
          <w:lang w:val="en-GB"/>
        </w:rPr>
      </w:pPr>
      <w:r w:rsidRPr="00AE5F3F">
        <w:rPr>
          <w:sz w:val="22"/>
          <w:lang w:val="en-GB"/>
        </w:rPr>
        <w:t>The Chair of the Technical Committee is appointed by the Steering Committee and sits for 3 years, renewable once.</w:t>
      </w:r>
      <w:r>
        <w:rPr>
          <w:lang w:val="en-GB"/>
        </w:rPr>
        <w:t xml:space="preserve"> </w:t>
      </w:r>
      <w:r w:rsidRPr="00AE5F3F">
        <w:rPr>
          <w:sz w:val="22"/>
          <w:lang w:val="en-GB"/>
        </w:rPr>
        <w:t>According to Article 7(8) (b) the Steering Committee shall create a Technical Committee. The Technical Committee is not governed by the</w:t>
      </w:r>
      <w:r>
        <w:rPr>
          <w:sz w:val="22"/>
          <w:lang w:val="en-GB"/>
        </w:rPr>
        <w:t xml:space="preserve"> GWP and GWPO</w:t>
      </w:r>
      <w:r w:rsidRPr="00AE5F3F">
        <w:rPr>
          <w:sz w:val="22"/>
          <w:lang w:val="en-GB"/>
        </w:rPr>
        <w:t xml:space="preserve"> Statutes and therefore not a part of the governance structure, but it is a permanent committee that reports to the Steering Committee.</w:t>
      </w:r>
      <w:r>
        <w:rPr>
          <w:sz w:val="22"/>
          <w:lang w:val="en-GB"/>
        </w:rPr>
        <w:t xml:space="preserve"> The Chair of the Technical Committee</w:t>
      </w:r>
      <w:r w:rsidR="00CA3CCE">
        <w:rPr>
          <w:sz w:val="22"/>
          <w:lang w:val="en-GB"/>
        </w:rPr>
        <w:t xml:space="preserve"> provides overall vision and leadership to the Tech</w:t>
      </w:r>
      <w:r w:rsidR="00AE5F3F">
        <w:rPr>
          <w:sz w:val="22"/>
          <w:lang w:val="en-GB"/>
        </w:rPr>
        <w:t>nical Committee as well as advic</w:t>
      </w:r>
      <w:r w:rsidR="00CA3CCE">
        <w:rPr>
          <w:sz w:val="22"/>
          <w:lang w:val="en-GB"/>
        </w:rPr>
        <w:t xml:space="preserve">e </w:t>
      </w:r>
      <w:r w:rsidR="00303294">
        <w:rPr>
          <w:sz w:val="22"/>
          <w:lang w:val="en-GB"/>
        </w:rPr>
        <w:t xml:space="preserve">to </w:t>
      </w:r>
      <w:r w:rsidR="00CA3CCE">
        <w:rPr>
          <w:sz w:val="22"/>
          <w:lang w:val="en-GB"/>
        </w:rPr>
        <w:t>the GWP Chair and Executive Secretary on matters of substance of the Technical Committee’s work. The role also represents GWP at various international meetings.</w:t>
      </w:r>
    </w:p>
    <w:p w14:paraId="0E3F96FD" w14:textId="66524D73" w:rsidR="00BB5115" w:rsidRDefault="00EB1A49" w:rsidP="0035695D">
      <w:pPr>
        <w:rPr>
          <w:sz w:val="22"/>
          <w:lang w:val="en-GB"/>
        </w:rPr>
      </w:pPr>
      <w:r w:rsidRPr="00AE7E99">
        <w:rPr>
          <w:sz w:val="22"/>
          <w:lang w:val="en-GB"/>
        </w:rPr>
        <w:t xml:space="preserve">The Executive Secretary is the chief executive officer of the Organisation and head of the Secretariat. The </w:t>
      </w:r>
      <w:r w:rsidR="000403A0" w:rsidRPr="00AE7E99">
        <w:rPr>
          <w:sz w:val="22"/>
          <w:lang w:val="en-GB"/>
        </w:rPr>
        <w:t xml:space="preserve">Executive Secretary is appointed by the Steering Committee and the </w:t>
      </w:r>
      <w:r w:rsidRPr="00AE7E99">
        <w:rPr>
          <w:sz w:val="22"/>
          <w:lang w:val="en-GB"/>
        </w:rPr>
        <w:t xml:space="preserve">authority of the </w:t>
      </w:r>
      <w:r w:rsidR="000403A0" w:rsidRPr="00AE7E99">
        <w:rPr>
          <w:sz w:val="22"/>
          <w:lang w:val="en-GB"/>
        </w:rPr>
        <w:t>Executive Secretary</w:t>
      </w:r>
      <w:r w:rsidR="00A138AB" w:rsidRPr="00AE7E99">
        <w:rPr>
          <w:sz w:val="22"/>
          <w:lang w:val="en-GB"/>
        </w:rPr>
        <w:t xml:space="preserve"> </w:t>
      </w:r>
      <w:r w:rsidRPr="00AE7E99">
        <w:rPr>
          <w:sz w:val="22"/>
          <w:lang w:val="en-GB"/>
        </w:rPr>
        <w:t>is set out in Article 11 of the Statutes</w:t>
      </w:r>
      <w:r w:rsidR="00A138AB" w:rsidRPr="00AE7E99">
        <w:rPr>
          <w:sz w:val="22"/>
          <w:lang w:val="en-GB"/>
        </w:rPr>
        <w:t xml:space="preserve">. </w:t>
      </w:r>
      <w:r w:rsidRPr="00AE7E99">
        <w:rPr>
          <w:sz w:val="22"/>
          <w:lang w:val="en-GB"/>
        </w:rPr>
        <w:t xml:space="preserve">The Executive Secretary serves as the Secretary for, and has an ex-officio position on, the Steering Committee. </w:t>
      </w:r>
    </w:p>
    <w:p w14:paraId="31FEDE39" w14:textId="77777777" w:rsidR="0037593D" w:rsidRPr="00AE7E99" w:rsidRDefault="0037593D" w:rsidP="0037593D">
      <w:pPr>
        <w:rPr>
          <w:sz w:val="22"/>
          <w:lang w:val="en-GB"/>
        </w:rPr>
      </w:pPr>
      <w:r>
        <w:rPr>
          <w:sz w:val="22"/>
          <w:lang w:val="en-GB"/>
        </w:rPr>
        <w:t xml:space="preserve">The Deputy Executive Secretary (DES) is not a position which is defined in the Statutes, however, as it is a role which acts on the behalf of the </w:t>
      </w:r>
      <w:r>
        <w:rPr>
          <w:sz w:val="22"/>
          <w:lang w:val="en-GB"/>
        </w:rPr>
        <w:lastRenderedPageBreak/>
        <w:t xml:space="preserve">Executive Secretary in his/her absence, it has an executive role. It also </w:t>
      </w:r>
      <w:r w:rsidRPr="00F32696">
        <w:rPr>
          <w:sz w:val="22"/>
        </w:rPr>
        <w:t>assists and supports the ES in his/her responsibilities as set forth by the GWPO Statutes, by providing overall leadership and management of the internal day-to-day functions of the GWPO Secretariat.</w:t>
      </w:r>
    </w:p>
    <w:p w14:paraId="682D521D" w14:textId="341CE884" w:rsidR="002C7276" w:rsidRPr="00AE7E99" w:rsidRDefault="00DA5E53" w:rsidP="00A138AB">
      <w:pPr>
        <w:pStyle w:val="Heading5"/>
        <w:rPr>
          <w:lang w:val="en-GB"/>
        </w:rPr>
      </w:pPr>
      <w:r w:rsidRPr="00AE7E99">
        <w:rPr>
          <w:lang w:val="en-GB"/>
        </w:rPr>
        <w:t>2.</w:t>
      </w:r>
      <w:r w:rsidR="00A138AB" w:rsidRPr="00AE7E99">
        <w:rPr>
          <w:lang w:val="en-GB"/>
        </w:rPr>
        <w:t>5</w:t>
      </w:r>
      <w:r w:rsidRPr="00AE7E99">
        <w:rPr>
          <w:lang w:val="en-GB"/>
        </w:rPr>
        <w:t xml:space="preserve"> Financing Partners Group (informal group involved in GWP governance)</w:t>
      </w:r>
    </w:p>
    <w:p w14:paraId="4F0C7EBD" w14:textId="1AA33634" w:rsidR="00DA5E53" w:rsidRPr="00AE7E99" w:rsidRDefault="00DA5E53" w:rsidP="00DA5E53">
      <w:pPr>
        <w:rPr>
          <w:sz w:val="22"/>
          <w:lang w:val="en-GB"/>
        </w:rPr>
      </w:pPr>
      <w:r w:rsidRPr="00AE7E99">
        <w:rPr>
          <w:sz w:val="22"/>
          <w:lang w:val="en-GB"/>
        </w:rPr>
        <w:t>The Financin</w:t>
      </w:r>
      <w:r w:rsidR="00AE7E99">
        <w:rPr>
          <w:sz w:val="22"/>
          <w:lang w:val="en-GB"/>
        </w:rPr>
        <w:t>g Partners Group is a body that</w:t>
      </w:r>
      <w:r w:rsidRPr="00AE7E99">
        <w:rPr>
          <w:sz w:val="22"/>
          <w:lang w:val="en-GB"/>
        </w:rPr>
        <w:t xml:space="preserve"> is not a formal part of the GWP governance structure. As stated above the members of GWPO, the Sponsoring Partners are not obligated to finance the organis</w:t>
      </w:r>
      <w:r w:rsidR="00F434B7">
        <w:rPr>
          <w:sz w:val="22"/>
          <w:lang w:val="en-GB"/>
        </w:rPr>
        <w:t>ation. Therefore GWPO has so far</w:t>
      </w:r>
      <w:r w:rsidRPr="00AE7E99">
        <w:rPr>
          <w:sz w:val="22"/>
          <w:lang w:val="en-GB"/>
        </w:rPr>
        <w:t xml:space="preserve"> relied on voluntary financing from various countries and other IGOs. </w:t>
      </w:r>
    </w:p>
    <w:p w14:paraId="2D67004A" w14:textId="294DFFFE" w:rsidR="00DA5E53" w:rsidRPr="00AE7E99" w:rsidRDefault="00DA5E53" w:rsidP="00DA5E53">
      <w:pPr>
        <w:rPr>
          <w:sz w:val="22"/>
          <w:lang w:val="en-GB"/>
        </w:rPr>
      </w:pPr>
      <w:r w:rsidRPr="00AE7E99">
        <w:rPr>
          <w:sz w:val="22"/>
          <w:lang w:val="en-GB"/>
        </w:rPr>
        <w:t>The Financing Partners Group (FPG) first met in 2003 in order to develop donor relationships. This relationship with donor governments at the global level is a unique feature of GWP and extends beyond funding, to encourage a harmonized approach in the spirit of the 2005 Paris Declaration on Aid Effectiveness. Within the FPG there are Committed Financial Partners who provide core funding for at least one year</w:t>
      </w:r>
      <w:r w:rsidR="00D921FA" w:rsidRPr="00AE7E99">
        <w:rPr>
          <w:sz w:val="22"/>
          <w:lang w:val="en-GB"/>
        </w:rPr>
        <w:t xml:space="preserve"> or more</w:t>
      </w:r>
      <w:r w:rsidRPr="00AE7E99">
        <w:rPr>
          <w:sz w:val="22"/>
          <w:lang w:val="en-GB"/>
        </w:rPr>
        <w:t xml:space="preserve"> at a time.  Separate agreements are signed with each Financial Partner and one harmonized financial report </w:t>
      </w:r>
      <w:r w:rsidR="00D921FA" w:rsidRPr="00AE7E99">
        <w:rPr>
          <w:sz w:val="22"/>
          <w:lang w:val="en-GB"/>
        </w:rPr>
        <w:t>is prepared</w:t>
      </w:r>
      <w:r w:rsidRPr="00AE7E99">
        <w:rPr>
          <w:sz w:val="22"/>
          <w:lang w:val="en-GB"/>
        </w:rPr>
        <w:t xml:space="preserve">.  At the end of </w:t>
      </w:r>
      <w:r w:rsidRPr="00AE7E99">
        <w:rPr>
          <w:sz w:val="22"/>
          <w:lang w:val="en-GB"/>
        </w:rPr>
        <w:lastRenderedPageBreak/>
        <w:t>each financing agreement, Financial Partners conduct their own review/evaluations, separate from any internal/external review of GWPO, as needed.</w:t>
      </w:r>
    </w:p>
    <w:p w14:paraId="6382D260" w14:textId="77777777" w:rsidR="00DA5E53" w:rsidRPr="00AE7E99" w:rsidRDefault="00DA5E53" w:rsidP="00DA5E53">
      <w:pPr>
        <w:rPr>
          <w:sz w:val="22"/>
          <w:lang w:val="en-GB"/>
        </w:rPr>
      </w:pPr>
      <w:r w:rsidRPr="00AE7E99">
        <w:rPr>
          <w:sz w:val="22"/>
          <w:lang w:val="en-GB"/>
        </w:rPr>
        <w:t>The FPG meets twice a year with the GWP Chair, ES and the Management Team of the GWPO Secretariat (and a Network Officer) and the Chair of the Technical Committee.  The current functions of the FPG, (although not formally stated anywhere) are:</w:t>
      </w:r>
    </w:p>
    <w:p w14:paraId="2CCD8F42" w14:textId="77777777" w:rsidR="00DA5E53" w:rsidRPr="00AE7E99" w:rsidRDefault="00DA5E53" w:rsidP="00A138AB">
      <w:pPr>
        <w:numPr>
          <w:ilvl w:val="0"/>
          <w:numId w:val="23"/>
        </w:numPr>
        <w:spacing w:after="0"/>
        <w:rPr>
          <w:sz w:val="22"/>
          <w:lang w:val="en-GB"/>
        </w:rPr>
      </w:pPr>
      <w:r w:rsidRPr="00AE7E99">
        <w:rPr>
          <w:sz w:val="22"/>
          <w:lang w:val="en-GB"/>
        </w:rPr>
        <w:t>advising and commenting on various GWP draft products before they are finalized or approved by the SC;</w:t>
      </w:r>
    </w:p>
    <w:p w14:paraId="64FD9D68" w14:textId="77777777" w:rsidR="00DA5E53" w:rsidRPr="00AE7E99" w:rsidRDefault="00DA5E53" w:rsidP="00A138AB">
      <w:pPr>
        <w:numPr>
          <w:ilvl w:val="0"/>
          <w:numId w:val="23"/>
        </w:numPr>
        <w:spacing w:after="0"/>
        <w:rPr>
          <w:sz w:val="22"/>
          <w:lang w:val="en-GB"/>
        </w:rPr>
      </w:pPr>
      <w:r w:rsidRPr="00AE7E99">
        <w:rPr>
          <w:sz w:val="22"/>
          <w:lang w:val="en-GB"/>
        </w:rPr>
        <w:t>Commenting on financial, annual and other reports which go to the SC for finalization/approval as appropriate;</w:t>
      </w:r>
    </w:p>
    <w:p w14:paraId="708C9517" w14:textId="77777777" w:rsidR="00DA5E53" w:rsidRPr="00AE7E99" w:rsidRDefault="00DA5E53" w:rsidP="00A138AB">
      <w:pPr>
        <w:numPr>
          <w:ilvl w:val="0"/>
          <w:numId w:val="23"/>
        </w:numPr>
        <w:spacing w:after="0"/>
        <w:rPr>
          <w:sz w:val="22"/>
          <w:lang w:val="en-GB"/>
        </w:rPr>
      </w:pPr>
      <w:r w:rsidRPr="00AE7E99">
        <w:rPr>
          <w:sz w:val="22"/>
          <w:lang w:val="en-GB"/>
        </w:rPr>
        <w:t>maintaining a strategic dialogue with GWPO on the full range of issues related to water resources management and sharing ideas among members;</w:t>
      </w:r>
    </w:p>
    <w:p w14:paraId="5C408C4A" w14:textId="548A3CB1" w:rsidR="00DA5E53" w:rsidRPr="00AE7E99" w:rsidRDefault="00DA5E53" w:rsidP="00A138AB">
      <w:pPr>
        <w:numPr>
          <w:ilvl w:val="0"/>
          <w:numId w:val="23"/>
        </w:numPr>
        <w:spacing w:after="0"/>
        <w:rPr>
          <w:sz w:val="22"/>
          <w:lang w:val="en-GB"/>
        </w:rPr>
      </w:pPr>
      <w:r w:rsidRPr="00AE7E99">
        <w:rPr>
          <w:sz w:val="22"/>
          <w:lang w:val="en-GB"/>
        </w:rPr>
        <w:t>Participating in SC meetings as a permanent observer (appointed by the Meeting of the Sponsoring Partners), through the presence of</w:t>
      </w:r>
      <w:r w:rsidR="00044841">
        <w:rPr>
          <w:sz w:val="22"/>
          <w:lang w:val="en-GB"/>
        </w:rPr>
        <w:t>, in principle,</w:t>
      </w:r>
      <w:r w:rsidRPr="00AE7E99">
        <w:rPr>
          <w:sz w:val="22"/>
          <w:lang w:val="en-GB"/>
        </w:rPr>
        <w:t xml:space="preserve"> one FPG representative.  (This arrangement, together with a shift from annual to twice yearly strategic meetings, was arrived at after 2008 when the FPG decided that is was getting </w:t>
      </w:r>
      <w:r w:rsidRPr="00AE7E99">
        <w:rPr>
          <w:sz w:val="22"/>
          <w:lang w:val="en-GB"/>
        </w:rPr>
        <w:lastRenderedPageBreak/>
        <w:t xml:space="preserve">too involved in the decision-making and oversight of GWP, because of its then large presence on the SC). </w:t>
      </w:r>
    </w:p>
    <w:p w14:paraId="0B819B80" w14:textId="5B4D4080" w:rsidR="00DA5E53" w:rsidRPr="00AE7E99" w:rsidRDefault="00DA5E53" w:rsidP="00A138AB">
      <w:pPr>
        <w:numPr>
          <w:ilvl w:val="0"/>
          <w:numId w:val="23"/>
        </w:numPr>
        <w:spacing w:after="0"/>
        <w:rPr>
          <w:sz w:val="22"/>
          <w:lang w:val="en-GB"/>
        </w:rPr>
      </w:pPr>
      <w:r w:rsidRPr="00AE7E99">
        <w:rPr>
          <w:sz w:val="22"/>
          <w:lang w:val="en-GB"/>
        </w:rPr>
        <w:t>Sharing issues of relevance to GWPO among themselves and with GWPO.</w:t>
      </w:r>
    </w:p>
    <w:p w14:paraId="0F152D1D" w14:textId="44E2DD76" w:rsidR="00C85AF4" w:rsidRPr="00AE7E99" w:rsidRDefault="002B188D" w:rsidP="00C85AF4">
      <w:pPr>
        <w:pStyle w:val="Heading3"/>
        <w:rPr>
          <w:szCs w:val="24"/>
          <w:lang w:val="en-GB"/>
        </w:rPr>
      </w:pPr>
      <w:r w:rsidRPr="00AE7E99">
        <w:rPr>
          <w:szCs w:val="24"/>
          <w:lang w:val="en-GB"/>
        </w:rPr>
        <w:t xml:space="preserve">Need for </w:t>
      </w:r>
      <w:r w:rsidR="0076737D" w:rsidRPr="00AE7E99">
        <w:rPr>
          <w:szCs w:val="24"/>
          <w:lang w:val="en-GB"/>
        </w:rPr>
        <w:t xml:space="preserve">governance </w:t>
      </w:r>
      <w:r w:rsidR="00C85AF4" w:rsidRPr="00AE7E99">
        <w:rPr>
          <w:szCs w:val="24"/>
          <w:lang w:val="en-GB"/>
        </w:rPr>
        <w:t>review</w:t>
      </w:r>
      <w:r w:rsidR="00B9640F" w:rsidRPr="00AE7E99">
        <w:rPr>
          <w:szCs w:val="24"/>
          <w:lang w:val="en-GB"/>
        </w:rPr>
        <w:t xml:space="preserve"> – GWP in the future</w:t>
      </w:r>
    </w:p>
    <w:p w14:paraId="557DAB38" w14:textId="58BC45C3" w:rsidR="00C85AF4" w:rsidRPr="00044841" w:rsidRDefault="00C85AF4" w:rsidP="00C85AF4">
      <w:pPr>
        <w:rPr>
          <w:b/>
          <w:i/>
          <w:sz w:val="22"/>
          <w:lang w:val="en-GB"/>
        </w:rPr>
      </w:pPr>
      <w:r w:rsidRPr="00044841">
        <w:rPr>
          <w:sz w:val="22"/>
          <w:lang w:val="en-GB"/>
        </w:rPr>
        <w:t xml:space="preserve">In the 17 years that the GWP Network has existed, the global </w:t>
      </w:r>
      <w:r w:rsidR="00DF17E5" w:rsidRPr="00044841">
        <w:rPr>
          <w:sz w:val="22"/>
          <w:lang w:val="en-GB"/>
        </w:rPr>
        <w:t>environment</w:t>
      </w:r>
      <w:r w:rsidRPr="00044841">
        <w:rPr>
          <w:sz w:val="22"/>
          <w:lang w:val="en-GB"/>
        </w:rPr>
        <w:t xml:space="preserve"> within water resources management has changed a great deal</w:t>
      </w:r>
      <w:r w:rsidR="00DF17E5" w:rsidRPr="00044841">
        <w:rPr>
          <w:sz w:val="22"/>
          <w:lang w:val="en-GB"/>
        </w:rPr>
        <w:t xml:space="preserve"> and the operations of the GWP Network and GWPO has had to adapt accordingly</w:t>
      </w:r>
      <w:r w:rsidR="00DB753C" w:rsidRPr="00044841">
        <w:rPr>
          <w:sz w:val="22"/>
          <w:lang w:val="en-GB"/>
        </w:rPr>
        <w:t xml:space="preserve">, within the structure it was given in 1996 and 2002. </w:t>
      </w:r>
      <w:r w:rsidR="00B9640F" w:rsidRPr="00044841">
        <w:rPr>
          <w:sz w:val="22"/>
          <w:lang w:val="en-GB"/>
        </w:rPr>
        <w:t>The</w:t>
      </w:r>
      <w:r w:rsidR="00DF17E5" w:rsidRPr="00044841">
        <w:rPr>
          <w:sz w:val="22"/>
          <w:lang w:val="en-GB"/>
        </w:rPr>
        <w:t xml:space="preserve"> changes</w:t>
      </w:r>
      <w:r w:rsidR="00B9640F" w:rsidRPr="00044841">
        <w:rPr>
          <w:sz w:val="22"/>
          <w:lang w:val="en-GB"/>
        </w:rPr>
        <w:t xml:space="preserve"> in the global </w:t>
      </w:r>
      <w:r w:rsidR="009B4100" w:rsidRPr="00044841">
        <w:rPr>
          <w:sz w:val="22"/>
          <w:lang w:val="en-GB"/>
        </w:rPr>
        <w:t>environment</w:t>
      </w:r>
      <w:r w:rsidR="00DF17E5" w:rsidRPr="00044841">
        <w:rPr>
          <w:sz w:val="22"/>
          <w:lang w:val="en-GB"/>
        </w:rPr>
        <w:t xml:space="preserve"> </w:t>
      </w:r>
      <w:r w:rsidR="00FC3F9E">
        <w:rPr>
          <w:sz w:val="22"/>
          <w:lang w:val="en-GB"/>
        </w:rPr>
        <w:t xml:space="preserve">are all interconnected but </w:t>
      </w:r>
      <w:r w:rsidR="00361D15" w:rsidRPr="00044841">
        <w:rPr>
          <w:sz w:val="22"/>
          <w:lang w:val="en-GB"/>
        </w:rPr>
        <w:t>can broadly be described as the following</w:t>
      </w:r>
      <w:r w:rsidR="00DF17E5" w:rsidRPr="004167CB">
        <w:rPr>
          <w:sz w:val="22"/>
          <w:lang w:val="en-GB"/>
        </w:rPr>
        <w:t>:</w:t>
      </w:r>
      <w:r w:rsidR="00FE7418" w:rsidRPr="00044841">
        <w:rPr>
          <w:b/>
          <w:sz w:val="22"/>
          <w:u w:val="single"/>
          <w:lang w:val="en-GB"/>
        </w:rPr>
        <w:t xml:space="preserve"> </w:t>
      </w:r>
    </w:p>
    <w:p w14:paraId="032B4CEE" w14:textId="686C365B" w:rsidR="006F7FF3" w:rsidRPr="00044841" w:rsidRDefault="006F7FF3" w:rsidP="006F7FF3">
      <w:pPr>
        <w:numPr>
          <w:ilvl w:val="0"/>
          <w:numId w:val="16"/>
        </w:numPr>
        <w:rPr>
          <w:sz w:val="22"/>
          <w:lang w:val="en-GB"/>
        </w:rPr>
      </w:pPr>
      <w:r w:rsidRPr="00044841">
        <w:rPr>
          <w:sz w:val="22"/>
          <w:lang w:val="en-GB"/>
        </w:rPr>
        <w:t xml:space="preserve">The impact of economic, financial, and natural crises spread faster than ever before, and </w:t>
      </w:r>
      <w:r w:rsidR="00D8402A">
        <w:rPr>
          <w:sz w:val="22"/>
          <w:lang w:val="en-GB"/>
        </w:rPr>
        <w:t>show</w:t>
      </w:r>
      <w:r w:rsidRPr="00044841">
        <w:rPr>
          <w:sz w:val="22"/>
          <w:lang w:val="en-GB"/>
        </w:rPr>
        <w:t xml:space="preserve"> that our planet is </w:t>
      </w:r>
      <w:r w:rsidR="00D8402A">
        <w:rPr>
          <w:sz w:val="22"/>
          <w:lang w:val="en-GB"/>
        </w:rPr>
        <w:t xml:space="preserve">intrinsically interconnected and interdependent as </w:t>
      </w:r>
      <w:r w:rsidRPr="00044841">
        <w:rPr>
          <w:sz w:val="22"/>
          <w:lang w:val="en-GB"/>
        </w:rPr>
        <w:t xml:space="preserve">an indivisible whole. </w:t>
      </w:r>
    </w:p>
    <w:p w14:paraId="1B70EA2F" w14:textId="68A27348" w:rsidR="0076737D" w:rsidRPr="00044841" w:rsidRDefault="0076737D" w:rsidP="006F7FF3">
      <w:pPr>
        <w:numPr>
          <w:ilvl w:val="0"/>
          <w:numId w:val="16"/>
        </w:numPr>
        <w:rPr>
          <w:sz w:val="22"/>
          <w:lang w:val="en-GB"/>
        </w:rPr>
      </w:pPr>
      <w:r w:rsidRPr="00044841">
        <w:rPr>
          <w:sz w:val="22"/>
          <w:lang w:val="en-GB"/>
        </w:rPr>
        <w:t>The increasing number of countries and regions which face water scarcity and water stress</w:t>
      </w:r>
      <w:r w:rsidR="00D8402A">
        <w:rPr>
          <w:sz w:val="22"/>
          <w:lang w:val="en-GB"/>
        </w:rPr>
        <w:t xml:space="preserve"> due to </w:t>
      </w:r>
      <w:r w:rsidR="00D8402A" w:rsidRPr="00044841">
        <w:rPr>
          <w:sz w:val="22"/>
          <w:lang w:val="en-GB"/>
        </w:rPr>
        <w:t>rapidly growing</w:t>
      </w:r>
      <w:r w:rsidR="00D8402A">
        <w:rPr>
          <w:sz w:val="22"/>
          <w:lang w:val="en-GB"/>
        </w:rPr>
        <w:t xml:space="preserve"> and urbanising populations bringing</w:t>
      </w:r>
      <w:r w:rsidR="00D8402A" w:rsidRPr="00044841">
        <w:rPr>
          <w:sz w:val="22"/>
          <w:lang w:val="en-GB"/>
        </w:rPr>
        <w:t xml:space="preserve"> changing lifestyles and consumption patterns</w:t>
      </w:r>
      <w:r w:rsidR="00D8402A">
        <w:rPr>
          <w:sz w:val="22"/>
          <w:lang w:val="en-GB"/>
        </w:rPr>
        <w:t xml:space="preserve">, as well as </w:t>
      </w:r>
      <w:r w:rsidR="00D8402A" w:rsidRPr="00044841">
        <w:rPr>
          <w:sz w:val="22"/>
          <w:lang w:val="en-GB"/>
        </w:rPr>
        <w:t>climate crisis with inc</w:t>
      </w:r>
      <w:r w:rsidR="00D8402A">
        <w:rPr>
          <w:sz w:val="22"/>
          <w:lang w:val="en-GB"/>
        </w:rPr>
        <w:t>reasing floods and droughts</w:t>
      </w:r>
      <w:r w:rsidRPr="00044841">
        <w:rPr>
          <w:sz w:val="22"/>
          <w:lang w:val="en-GB"/>
        </w:rPr>
        <w:t>.</w:t>
      </w:r>
    </w:p>
    <w:p w14:paraId="245AA848" w14:textId="77777777" w:rsidR="00D8402A" w:rsidRDefault="00D8402A" w:rsidP="00D8402A">
      <w:pPr>
        <w:numPr>
          <w:ilvl w:val="0"/>
          <w:numId w:val="16"/>
        </w:numPr>
        <w:rPr>
          <w:sz w:val="22"/>
          <w:lang w:val="en-GB"/>
        </w:rPr>
      </w:pPr>
      <w:r w:rsidRPr="00D8402A">
        <w:rPr>
          <w:sz w:val="22"/>
          <w:lang w:val="en-GB"/>
        </w:rPr>
        <w:lastRenderedPageBreak/>
        <w:t>Developing countries have now some of the fastest growing economies in the world, which brings new perspectives in relation to development of countries and provides new local funding</w:t>
      </w:r>
    </w:p>
    <w:p w14:paraId="78D3DE2D" w14:textId="457E87B1" w:rsidR="006F7FF3" w:rsidRPr="00044841" w:rsidRDefault="00FE7418" w:rsidP="006F7FF3">
      <w:pPr>
        <w:numPr>
          <w:ilvl w:val="0"/>
          <w:numId w:val="16"/>
        </w:numPr>
        <w:rPr>
          <w:sz w:val="22"/>
          <w:lang w:val="en-GB"/>
        </w:rPr>
      </w:pPr>
      <w:r w:rsidRPr="00044841">
        <w:rPr>
          <w:sz w:val="22"/>
          <w:lang w:val="en-GB"/>
        </w:rPr>
        <w:t>Integrated management of water resources or integrated water resources management</w:t>
      </w:r>
      <w:r w:rsidR="006F7FF3" w:rsidRPr="00044841">
        <w:rPr>
          <w:sz w:val="22"/>
          <w:lang w:val="en-GB"/>
        </w:rPr>
        <w:t xml:space="preserve"> is now widely recognized as a key process for addressing competing demands from agriculture, industry, energy, domestic consumption, and ecosystems;  planning for an integrated approach need also to focus on specific thematic areas and define investment plans that will  lead to water security. This requires </w:t>
      </w:r>
      <w:r w:rsidR="00F434B7">
        <w:rPr>
          <w:sz w:val="22"/>
          <w:lang w:val="en-GB"/>
        </w:rPr>
        <w:t>new skills from our GWP Partners</w:t>
      </w:r>
      <w:r w:rsidR="006F7FF3" w:rsidRPr="00044841">
        <w:rPr>
          <w:sz w:val="22"/>
          <w:lang w:val="en-GB"/>
        </w:rPr>
        <w:t>.</w:t>
      </w:r>
    </w:p>
    <w:p w14:paraId="72FF600D" w14:textId="61401DEA" w:rsidR="006F7FF3" w:rsidRPr="00044841" w:rsidRDefault="006F7FF3" w:rsidP="006F7FF3">
      <w:pPr>
        <w:numPr>
          <w:ilvl w:val="0"/>
          <w:numId w:val="16"/>
        </w:numPr>
        <w:rPr>
          <w:sz w:val="22"/>
          <w:lang w:val="en-GB"/>
        </w:rPr>
      </w:pPr>
      <w:r w:rsidRPr="00044841">
        <w:rPr>
          <w:sz w:val="22"/>
          <w:lang w:val="en-GB"/>
        </w:rPr>
        <w:t>Access to funding for developing agencies has become increasingly competitive, and at the same time traditional donors have to face a reduction of resources because of the financial crisis or change in priorities. There is m</w:t>
      </w:r>
      <w:r w:rsidR="00270CF1" w:rsidRPr="00044841">
        <w:rPr>
          <w:sz w:val="22"/>
          <w:lang w:val="en-GB"/>
        </w:rPr>
        <w:t>ore than ever a need to seek</w:t>
      </w:r>
      <w:r w:rsidRPr="00044841">
        <w:rPr>
          <w:sz w:val="22"/>
          <w:lang w:val="en-GB"/>
        </w:rPr>
        <w:t xml:space="preserve"> new funding sources and innovative arrangements</w:t>
      </w:r>
      <w:r w:rsidR="00FC3F9E">
        <w:rPr>
          <w:sz w:val="22"/>
          <w:lang w:val="en-GB"/>
        </w:rPr>
        <w:t xml:space="preserve"> with new partners</w:t>
      </w:r>
      <w:r w:rsidRPr="00044841">
        <w:rPr>
          <w:sz w:val="22"/>
          <w:lang w:val="en-GB"/>
        </w:rPr>
        <w:t>.</w:t>
      </w:r>
    </w:p>
    <w:p w14:paraId="4A14CEBB" w14:textId="332B36DC" w:rsidR="006F7FF3" w:rsidRPr="00044841" w:rsidRDefault="006F7FF3" w:rsidP="006F7FF3">
      <w:pPr>
        <w:numPr>
          <w:ilvl w:val="0"/>
          <w:numId w:val="16"/>
        </w:numPr>
        <w:rPr>
          <w:sz w:val="22"/>
          <w:lang w:val="en-GB"/>
        </w:rPr>
      </w:pPr>
      <w:r w:rsidRPr="00044841">
        <w:rPr>
          <w:sz w:val="22"/>
          <w:lang w:val="en-GB"/>
        </w:rPr>
        <w:t xml:space="preserve">The “business model” of GWP working with and through a network of local independent partners is more and more considered as an attractive model for development that provides an </w:t>
      </w:r>
      <w:r w:rsidR="00504A59">
        <w:rPr>
          <w:sz w:val="22"/>
          <w:lang w:val="en-GB"/>
        </w:rPr>
        <w:t>alternative to other existing</w:t>
      </w:r>
      <w:r w:rsidRPr="00044841">
        <w:rPr>
          <w:sz w:val="22"/>
          <w:lang w:val="en-GB"/>
        </w:rPr>
        <w:t xml:space="preserve"> models</w:t>
      </w:r>
      <w:r w:rsidR="00504A59">
        <w:rPr>
          <w:sz w:val="22"/>
          <w:lang w:val="en-GB"/>
        </w:rPr>
        <w:t xml:space="preserve"> of cooperation</w:t>
      </w:r>
      <w:r w:rsidRPr="00044841">
        <w:rPr>
          <w:sz w:val="22"/>
          <w:lang w:val="en-GB"/>
        </w:rPr>
        <w:t xml:space="preserve">. Partnerships for sustainable </w:t>
      </w:r>
      <w:r w:rsidR="00190983" w:rsidRPr="00044841">
        <w:rPr>
          <w:sz w:val="22"/>
          <w:lang w:val="en-GB"/>
        </w:rPr>
        <w:lastRenderedPageBreak/>
        <w:t>development</w:t>
      </w:r>
      <w:r w:rsidRPr="00044841">
        <w:rPr>
          <w:sz w:val="22"/>
          <w:lang w:val="en-GB"/>
        </w:rPr>
        <w:t xml:space="preserve"> </w:t>
      </w:r>
      <w:r w:rsidR="00FC3F9E">
        <w:rPr>
          <w:sz w:val="22"/>
          <w:lang w:val="en-GB"/>
        </w:rPr>
        <w:t>are therefore growing in number in all development sectors</w:t>
      </w:r>
      <w:r w:rsidRPr="00044841">
        <w:rPr>
          <w:sz w:val="22"/>
          <w:lang w:val="en-GB"/>
        </w:rPr>
        <w:t xml:space="preserve">. </w:t>
      </w:r>
    </w:p>
    <w:p w14:paraId="7A3DF414" w14:textId="040F937F" w:rsidR="00D11458" w:rsidRPr="00AE7E99" w:rsidRDefault="00270CF1" w:rsidP="006F7FF3">
      <w:pPr>
        <w:rPr>
          <w:sz w:val="22"/>
          <w:lang w:val="en-GB"/>
        </w:rPr>
      </w:pPr>
      <w:r w:rsidRPr="00AE7E99">
        <w:rPr>
          <w:sz w:val="22"/>
          <w:lang w:val="en-GB"/>
        </w:rPr>
        <w:t xml:space="preserve">In this changing environment GWP has </w:t>
      </w:r>
      <w:r w:rsidR="00FE7418" w:rsidRPr="00AE7E99">
        <w:rPr>
          <w:sz w:val="22"/>
          <w:lang w:val="en-GB"/>
        </w:rPr>
        <w:t xml:space="preserve">sought </w:t>
      </w:r>
      <w:r w:rsidR="00D11458" w:rsidRPr="00AE7E99">
        <w:rPr>
          <w:sz w:val="22"/>
          <w:lang w:val="en-GB"/>
        </w:rPr>
        <w:t xml:space="preserve">to </w:t>
      </w:r>
      <w:r w:rsidRPr="00AE7E99">
        <w:rPr>
          <w:sz w:val="22"/>
          <w:lang w:val="en-GB"/>
        </w:rPr>
        <w:t>adapt by expanding its advocacy and knowledge management work to implementing specific thematic programmes in order to respond to the growing needs for integrated water management knowledge at</w:t>
      </w:r>
      <w:r w:rsidR="00504A59">
        <w:rPr>
          <w:sz w:val="22"/>
          <w:lang w:val="en-GB"/>
        </w:rPr>
        <w:t xml:space="preserve"> local,</w:t>
      </w:r>
      <w:r w:rsidRPr="00AE7E99">
        <w:rPr>
          <w:sz w:val="22"/>
          <w:lang w:val="en-GB"/>
        </w:rPr>
        <w:t xml:space="preserve"> natio</w:t>
      </w:r>
      <w:r w:rsidR="00D8402A">
        <w:rPr>
          <w:sz w:val="22"/>
          <w:lang w:val="en-GB"/>
        </w:rPr>
        <w:t>nal, regional and global level.</w:t>
      </w:r>
      <w:r w:rsidR="00303294">
        <w:rPr>
          <w:sz w:val="22"/>
          <w:lang w:val="en-GB"/>
        </w:rPr>
        <w:t xml:space="preserve"> The new Strategy Towards 2020 builds on GWP’s work during the last 17 years and outlines a new direction where focus is placed on the need for innovative and multi-sectorial approaches to adequately address the threats and opportunities relating to the sustainable management of water resources.</w:t>
      </w:r>
    </w:p>
    <w:p w14:paraId="16364E11" w14:textId="6703E0EA" w:rsidR="00FE7418" w:rsidRPr="00AE7E99" w:rsidRDefault="00FE7418" w:rsidP="006F7FF3">
      <w:pPr>
        <w:rPr>
          <w:sz w:val="22"/>
          <w:lang w:val="en-GB"/>
        </w:rPr>
      </w:pPr>
      <w:r w:rsidRPr="00AE7E99">
        <w:rPr>
          <w:sz w:val="22"/>
          <w:lang w:val="en-GB"/>
        </w:rPr>
        <w:t xml:space="preserve">It </w:t>
      </w:r>
      <w:r w:rsidR="004167CB">
        <w:rPr>
          <w:sz w:val="22"/>
          <w:lang w:val="en-GB"/>
        </w:rPr>
        <w:t>is</w:t>
      </w:r>
      <w:r w:rsidRPr="00AE7E99">
        <w:rPr>
          <w:sz w:val="22"/>
          <w:lang w:val="en-GB"/>
        </w:rPr>
        <w:t xml:space="preserve"> more challenging to adapt the governance and organizational structure within the evolving environment. </w:t>
      </w:r>
      <w:r w:rsidR="00D11458" w:rsidRPr="00AE7E99">
        <w:rPr>
          <w:sz w:val="22"/>
          <w:lang w:val="en-GB"/>
        </w:rPr>
        <w:t>The number of GWP Partners has increased to 2,900, spread across more than 150 countries.</w:t>
      </w:r>
      <w:r w:rsidRPr="00AE7E99">
        <w:rPr>
          <w:sz w:val="22"/>
          <w:lang w:val="en-GB"/>
        </w:rPr>
        <w:t xml:space="preserve">  As the new Strategy for 2014 to 2020 is launched, the time is right </w:t>
      </w:r>
      <w:r w:rsidR="00D8402A">
        <w:rPr>
          <w:sz w:val="22"/>
          <w:lang w:val="en-GB"/>
        </w:rPr>
        <w:t xml:space="preserve">ask to the question of </w:t>
      </w:r>
      <w:r w:rsidR="00D11458" w:rsidRPr="00AE7E99">
        <w:rPr>
          <w:sz w:val="22"/>
          <w:lang w:val="en-GB"/>
        </w:rPr>
        <w:t xml:space="preserve">whether GWP is equipped to </w:t>
      </w:r>
      <w:r w:rsidR="004167CB">
        <w:rPr>
          <w:sz w:val="22"/>
          <w:lang w:val="en-GB"/>
        </w:rPr>
        <w:t>funct</w:t>
      </w:r>
      <w:r w:rsidR="00504A59">
        <w:rPr>
          <w:sz w:val="22"/>
          <w:lang w:val="en-GB"/>
        </w:rPr>
        <w:t>ion effectively in these rapidly changing global conditions</w:t>
      </w:r>
      <w:r w:rsidR="00D11458" w:rsidRPr="00AE7E99">
        <w:rPr>
          <w:sz w:val="22"/>
          <w:lang w:val="en-GB"/>
        </w:rPr>
        <w:t xml:space="preserve">. </w:t>
      </w:r>
    </w:p>
    <w:p w14:paraId="3A1E7559" w14:textId="702C7FE5" w:rsidR="00DF17E5" w:rsidRPr="00AE7E99" w:rsidRDefault="002B188D" w:rsidP="00DF17E5">
      <w:pPr>
        <w:pStyle w:val="Heading3"/>
        <w:rPr>
          <w:sz w:val="22"/>
          <w:lang w:val="en-GB"/>
        </w:rPr>
      </w:pPr>
      <w:r w:rsidRPr="00AE7E99">
        <w:rPr>
          <w:sz w:val="22"/>
          <w:lang w:val="en-GB"/>
        </w:rPr>
        <w:lastRenderedPageBreak/>
        <w:t xml:space="preserve">Scope of </w:t>
      </w:r>
      <w:r w:rsidR="00044841">
        <w:rPr>
          <w:sz w:val="22"/>
          <w:lang w:val="en-GB"/>
        </w:rPr>
        <w:t>governance and financing</w:t>
      </w:r>
      <w:r w:rsidR="00DF17E5" w:rsidRPr="00AE7E99">
        <w:rPr>
          <w:sz w:val="22"/>
          <w:lang w:val="en-GB"/>
        </w:rPr>
        <w:t xml:space="preserve"> review</w:t>
      </w:r>
    </w:p>
    <w:p w14:paraId="52F945B8" w14:textId="1AD52D7C" w:rsidR="00B32EBF" w:rsidRPr="00AE7E99" w:rsidRDefault="00B32EBF" w:rsidP="00DF17E5">
      <w:pPr>
        <w:rPr>
          <w:sz w:val="22"/>
          <w:lang w:val="en-GB"/>
        </w:rPr>
      </w:pPr>
      <w:r w:rsidRPr="00AE7E99">
        <w:rPr>
          <w:sz w:val="22"/>
          <w:lang w:val="en-GB"/>
        </w:rPr>
        <w:t>In light of the above</w:t>
      </w:r>
      <w:r w:rsidR="006F7FF3" w:rsidRPr="00AE7E99">
        <w:rPr>
          <w:sz w:val="22"/>
          <w:lang w:val="en-GB"/>
        </w:rPr>
        <w:t>, it</w:t>
      </w:r>
      <w:r w:rsidR="00DF17E5" w:rsidRPr="00AE7E99">
        <w:rPr>
          <w:sz w:val="22"/>
          <w:lang w:val="en-GB"/>
        </w:rPr>
        <w:t xml:space="preserve"> is proposed that GWPO, carry out a review of </w:t>
      </w:r>
      <w:r w:rsidR="002B188D" w:rsidRPr="00AE7E99">
        <w:rPr>
          <w:sz w:val="22"/>
          <w:lang w:val="en-GB"/>
        </w:rPr>
        <w:t xml:space="preserve">the GWP </w:t>
      </w:r>
      <w:r w:rsidR="006F7FF3" w:rsidRPr="00AE7E99">
        <w:rPr>
          <w:sz w:val="22"/>
          <w:lang w:val="en-GB"/>
        </w:rPr>
        <w:t>Network and GWPO governance and organisational structure</w:t>
      </w:r>
      <w:r w:rsidRPr="00AE7E99">
        <w:rPr>
          <w:sz w:val="22"/>
          <w:lang w:val="en-GB"/>
        </w:rPr>
        <w:t xml:space="preserve"> by looking at the following question:</w:t>
      </w:r>
    </w:p>
    <w:p w14:paraId="758CAC6B" w14:textId="684C9D0B" w:rsidR="00ED707F" w:rsidRPr="00AE7E99" w:rsidRDefault="00ED707F" w:rsidP="00DF17E5">
      <w:pPr>
        <w:rPr>
          <w:b/>
          <w:sz w:val="22"/>
          <w:lang w:val="en-GB"/>
        </w:rPr>
      </w:pPr>
      <w:r w:rsidRPr="00AE7E99">
        <w:rPr>
          <w:b/>
          <w:sz w:val="22"/>
          <w:lang w:val="en-GB"/>
        </w:rPr>
        <w:t xml:space="preserve">How could </w:t>
      </w:r>
      <w:r w:rsidR="00190983" w:rsidRPr="00AE7E99">
        <w:rPr>
          <w:b/>
          <w:sz w:val="22"/>
          <w:lang w:val="en-GB"/>
        </w:rPr>
        <w:t>the governance</w:t>
      </w:r>
      <w:r w:rsidR="00AE5F3F">
        <w:rPr>
          <w:b/>
          <w:sz w:val="22"/>
          <w:lang w:val="en-GB"/>
        </w:rPr>
        <w:t xml:space="preserve"> and organis</w:t>
      </w:r>
      <w:r w:rsidRPr="00AE7E99">
        <w:rPr>
          <w:b/>
          <w:sz w:val="22"/>
          <w:lang w:val="en-GB"/>
        </w:rPr>
        <w:t xml:space="preserve">ational structures of the GWP Network and GWPO better respond to the </w:t>
      </w:r>
      <w:r w:rsidR="004167CB">
        <w:rPr>
          <w:b/>
          <w:sz w:val="22"/>
          <w:lang w:val="en-GB"/>
        </w:rPr>
        <w:t>emerging</w:t>
      </w:r>
      <w:r w:rsidRPr="00AE7E99">
        <w:rPr>
          <w:b/>
          <w:sz w:val="22"/>
          <w:lang w:val="en-GB"/>
        </w:rPr>
        <w:t xml:space="preserve"> global challenges</w:t>
      </w:r>
      <w:r w:rsidR="00BF51E1" w:rsidRPr="00AE7E99">
        <w:rPr>
          <w:b/>
          <w:sz w:val="22"/>
          <w:lang w:val="en-GB"/>
        </w:rPr>
        <w:t xml:space="preserve"> </w:t>
      </w:r>
      <w:r w:rsidR="00AF097E">
        <w:rPr>
          <w:b/>
          <w:sz w:val="22"/>
          <w:lang w:val="en-GB"/>
        </w:rPr>
        <w:t xml:space="preserve">within the context of its </w:t>
      </w:r>
      <w:r w:rsidR="00BF51E1" w:rsidRPr="00AE7E99">
        <w:rPr>
          <w:b/>
          <w:sz w:val="22"/>
          <w:lang w:val="en-GB"/>
        </w:rPr>
        <w:t>Strategy</w:t>
      </w:r>
      <w:r w:rsidRPr="00AE7E99">
        <w:rPr>
          <w:b/>
          <w:sz w:val="22"/>
          <w:lang w:val="en-GB"/>
        </w:rPr>
        <w:t xml:space="preserve">? </w:t>
      </w:r>
    </w:p>
    <w:p w14:paraId="35C90664" w14:textId="4E6BC61E" w:rsidR="00ED707F" w:rsidRPr="00AE7E99" w:rsidRDefault="00ED707F" w:rsidP="00DF17E5">
      <w:pPr>
        <w:rPr>
          <w:sz w:val="22"/>
          <w:lang w:val="en-GB"/>
        </w:rPr>
      </w:pPr>
      <w:r w:rsidRPr="00AE7E99">
        <w:rPr>
          <w:sz w:val="22"/>
          <w:lang w:val="en-GB"/>
        </w:rPr>
        <w:t>In order to answer this question</w:t>
      </w:r>
      <w:r w:rsidR="002C7276" w:rsidRPr="00AE7E99">
        <w:rPr>
          <w:sz w:val="22"/>
          <w:lang w:val="en-GB"/>
        </w:rPr>
        <w:t>, the Consultant</w:t>
      </w:r>
      <w:r w:rsidR="007C308D">
        <w:rPr>
          <w:sz w:val="22"/>
          <w:lang w:val="en-GB"/>
        </w:rPr>
        <w:t>s</w:t>
      </w:r>
      <w:r w:rsidR="002C7276" w:rsidRPr="00AE7E99">
        <w:rPr>
          <w:sz w:val="22"/>
          <w:lang w:val="en-GB"/>
        </w:rPr>
        <w:t xml:space="preserve"> will need to assess</w:t>
      </w:r>
      <w:r w:rsidRPr="00AE7E99">
        <w:rPr>
          <w:sz w:val="22"/>
          <w:lang w:val="en-GB"/>
        </w:rPr>
        <w:t xml:space="preserve">, </w:t>
      </w:r>
    </w:p>
    <w:p w14:paraId="7C06F182" w14:textId="4934A4EE" w:rsidR="00ED707F" w:rsidRPr="00AE7E99" w:rsidRDefault="00190983" w:rsidP="0098494A">
      <w:pPr>
        <w:pStyle w:val="ListParagraph"/>
        <w:numPr>
          <w:ilvl w:val="0"/>
          <w:numId w:val="17"/>
        </w:numPr>
        <w:rPr>
          <w:sz w:val="22"/>
          <w:lang w:val="en-GB"/>
        </w:rPr>
      </w:pPr>
      <w:r w:rsidRPr="00AE7E99">
        <w:rPr>
          <w:sz w:val="22"/>
          <w:lang w:val="en-GB"/>
        </w:rPr>
        <w:t>The</w:t>
      </w:r>
      <w:r w:rsidR="00ED707F" w:rsidRPr="00AE7E99">
        <w:rPr>
          <w:sz w:val="22"/>
          <w:lang w:val="en-GB"/>
        </w:rPr>
        <w:t xml:space="preserve"> effe</w:t>
      </w:r>
      <w:r w:rsidR="004167CB">
        <w:rPr>
          <w:sz w:val="22"/>
          <w:lang w:val="en-GB"/>
        </w:rPr>
        <w:t>ctiveness of each of the</w:t>
      </w:r>
      <w:r w:rsidR="00ED707F" w:rsidRPr="00AE7E99">
        <w:rPr>
          <w:sz w:val="22"/>
          <w:lang w:val="en-GB"/>
        </w:rPr>
        <w:t xml:space="preserve"> governance </w:t>
      </w:r>
      <w:r w:rsidR="00405B65">
        <w:rPr>
          <w:sz w:val="22"/>
          <w:lang w:val="en-GB"/>
        </w:rPr>
        <w:t xml:space="preserve">roles </w:t>
      </w:r>
      <w:r w:rsidR="00ED707F" w:rsidRPr="00AE7E99">
        <w:rPr>
          <w:sz w:val="22"/>
          <w:lang w:val="en-GB"/>
        </w:rPr>
        <w:t xml:space="preserve">and </w:t>
      </w:r>
      <w:r w:rsidR="002C7276" w:rsidRPr="00AE7E99">
        <w:rPr>
          <w:sz w:val="22"/>
          <w:lang w:val="en-GB"/>
        </w:rPr>
        <w:t xml:space="preserve">develop </w:t>
      </w:r>
      <w:r w:rsidR="00ED707F" w:rsidRPr="00AE7E99">
        <w:rPr>
          <w:sz w:val="22"/>
          <w:lang w:val="en-GB"/>
        </w:rPr>
        <w:t>options</w:t>
      </w:r>
      <w:r w:rsidR="00A138AB" w:rsidRPr="00AE7E99">
        <w:rPr>
          <w:sz w:val="22"/>
          <w:lang w:val="en-GB"/>
        </w:rPr>
        <w:t xml:space="preserve"> </w:t>
      </w:r>
      <w:r w:rsidR="00ED707F" w:rsidRPr="00AE7E99">
        <w:rPr>
          <w:sz w:val="22"/>
          <w:lang w:val="en-GB"/>
        </w:rPr>
        <w:t xml:space="preserve">to improve </w:t>
      </w:r>
      <w:r w:rsidR="00405B65">
        <w:rPr>
          <w:sz w:val="22"/>
          <w:lang w:val="en-GB"/>
        </w:rPr>
        <w:t>these</w:t>
      </w:r>
      <w:r w:rsidR="008C3C98">
        <w:rPr>
          <w:sz w:val="22"/>
          <w:lang w:val="en-GB"/>
        </w:rPr>
        <w:t xml:space="preserve"> roles</w:t>
      </w:r>
      <w:r w:rsidR="00405B65">
        <w:rPr>
          <w:sz w:val="22"/>
          <w:lang w:val="en-GB"/>
        </w:rPr>
        <w:t xml:space="preserve"> in a cohesive manner</w:t>
      </w:r>
      <w:r w:rsidR="000538ED" w:rsidRPr="00AE7E99">
        <w:rPr>
          <w:sz w:val="22"/>
          <w:lang w:val="en-GB"/>
        </w:rPr>
        <w:t>.  In doing so, the implications of proposed changes</w:t>
      </w:r>
      <w:r w:rsidR="007C308D">
        <w:rPr>
          <w:sz w:val="22"/>
          <w:lang w:val="en-GB"/>
        </w:rPr>
        <w:t xml:space="preserve"> to </w:t>
      </w:r>
      <w:r w:rsidR="008C3C98">
        <w:rPr>
          <w:sz w:val="22"/>
          <w:lang w:val="en-GB"/>
        </w:rPr>
        <w:t>any</w:t>
      </w:r>
      <w:r w:rsidR="007C308D">
        <w:rPr>
          <w:sz w:val="22"/>
          <w:lang w:val="en-GB"/>
        </w:rPr>
        <w:t xml:space="preserve"> governance entity and</w:t>
      </w:r>
      <w:r w:rsidR="004167CB">
        <w:rPr>
          <w:sz w:val="22"/>
          <w:lang w:val="en-GB"/>
        </w:rPr>
        <w:t xml:space="preserve"> its</w:t>
      </w:r>
      <w:r w:rsidR="000538ED" w:rsidRPr="00AE7E99">
        <w:rPr>
          <w:sz w:val="22"/>
          <w:lang w:val="en-GB"/>
        </w:rPr>
        <w:t xml:space="preserve"> interconnected</w:t>
      </w:r>
      <w:r w:rsidR="004167CB">
        <w:rPr>
          <w:sz w:val="22"/>
          <w:lang w:val="en-GB"/>
        </w:rPr>
        <w:t>ness with other</w:t>
      </w:r>
      <w:r w:rsidR="000538ED" w:rsidRPr="00AE7E99">
        <w:rPr>
          <w:sz w:val="22"/>
          <w:lang w:val="en-GB"/>
        </w:rPr>
        <w:t xml:space="preserve"> governance</w:t>
      </w:r>
      <w:r w:rsidR="004167CB">
        <w:rPr>
          <w:sz w:val="22"/>
          <w:lang w:val="en-GB"/>
        </w:rPr>
        <w:t xml:space="preserve"> entities</w:t>
      </w:r>
      <w:r w:rsidR="000538ED" w:rsidRPr="00AE7E99">
        <w:rPr>
          <w:sz w:val="22"/>
          <w:lang w:val="en-GB"/>
        </w:rPr>
        <w:t xml:space="preserve"> </w:t>
      </w:r>
      <w:r w:rsidR="004167CB">
        <w:rPr>
          <w:sz w:val="22"/>
          <w:lang w:val="en-GB"/>
        </w:rPr>
        <w:t>must</w:t>
      </w:r>
      <w:r w:rsidR="000538ED" w:rsidRPr="00AE7E99">
        <w:rPr>
          <w:sz w:val="22"/>
          <w:lang w:val="en-GB"/>
        </w:rPr>
        <w:t xml:space="preserve"> also be considered, as well as the implications for the </w:t>
      </w:r>
      <w:r w:rsidR="004167CB">
        <w:rPr>
          <w:sz w:val="22"/>
          <w:lang w:val="en-GB"/>
        </w:rPr>
        <w:t xml:space="preserve">wording of the </w:t>
      </w:r>
      <w:r w:rsidR="000538ED" w:rsidRPr="00AE7E99">
        <w:rPr>
          <w:sz w:val="22"/>
          <w:lang w:val="en-GB"/>
        </w:rPr>
        <w:t>Statutes which govern GWP/GWPO.</w:t>
      </w:r>
    </w:p>
    <w:p w14:paraId="4818F346" w14:textId="0CB9DFE6" w:rsidR="002B188D" w:rsidRPr="00AE7E99" w:rsidRDefault="002C7276" w:rsidP="00DF17E5">
      <w:pPr>
        <w:pStyle w:val="ListParagraph"/>
        <w:numPr>
          <w:ilvl w:val="0"/>
          <w:numId w:val="17"/>
        </w:numPr>
        <w:rPr>
          <w:sz w:val="22"/>
          <w:lang w:val="en-GB"/>
        </w:rPr>
      </w:pPr>
      <w:r w:rsidRPr="00AE7E99">
        <w:rPr>
          <w:sz w:val="22"/>
          <w:lang w:val="en-GB"/>
        </w:rPr>
        <w:t>Different</w:t>
      </w:r>
      <w:r w:rsidR="000538ED" w:rsidRPr="00AE7E99">
        <w:rPr>
          <w:sz w:val="22"/>
          <w:lang w:val="en-GB"/>
        </w:rPr>
        <w:t xml:space="preserve"> options for organizing </w:t>
      </w:r>
      <w:r w:rsidR="004167CB">
        <w:rPr>
          <w:sz w:val="22"/>
          <w:lang w:val="en-GB"/>
        </w:rPr>
        <w:t>the financing of</w:t>
      </w:r>
      <w:r w:rsidR="000538ED" w:rsidRPr="00AE7E99">
        <w:rPr>
          <w:sz w:val="22"/>
          <w:lang w:val="en-GB"/>
        </w:rPr>
        <w:t xml:space="preserve"> </w:t>
      </w:r>
      <w:r w:rsidR="004167CB" w:rsidRPr="00AE7E99">
        <w:rPr>
          <w:sz w:val="22"/>
          <w:lang w:val="en-GB"/>
        </w:rPr>
        <w:t>GWP/GWPO</w:t>
      </w:r>
      <w:r w:rsidR="004167CB">
        <w:rPr>
          <w:sz w:val="22"/>
          <w:lang w:val="en-GB"/>
        </w:rPr>
        <w:t xml:space="preserve"> </w:t>
      </w:r>
      <w:r w:rsidR="000538ED" w:rsidRPr="00AE7E99">
        <w:rPr>
          <w:sz w:val="22"/>
          <w:lang w:val="en-GB"/>
        </w:rPr>
        <w:t xml:space="preserve">operations so that </w:t>
      </w:r>
      <w:r w:rsidRPr="00AE7E99">
        <w:rPr>
          <w:sz w:val="22"/>
          <w:lang w:val="en-GB"/>
        </w:rPr>
        <w:t>the Global Water Partnership is</w:t>
      </w:r>
      <w:r w:rsidR="00A138AB" w:rsidRPr="00AE7E99">
        <w:rPr>
          <w:sz w:val="22"/>
          <w:lang w:val="en-GB"/>
        </w:rPr>
        <w:t xml:space="preserve"> </w:t>
      </w:r>
      <w:r w:rsidR="000538ED" w:rsidRPr="00AE7E99">
        <w:rPr>
          <w:sz w:val="22"/>
          <w:lang w:val="en-GB"/>
        </w:rPr>
        <w:t>sustainable in the futur</w:t>
      </w:r>
      <w:r w:rsidRPr="00AE7E99">
        <w:rPr>
          <w:sz w:val="22"/>
          <w:lang w:val="en-GB"/>
        </w:rPr>
        <w:t>e</w:t>
      </w:r>
      <w:r w:rsidR="000538ED" w:rsidRPr="00AE7E99">
        <w:rPr>
          <w:sz w:val="22"/>
          <w:lang w:val="en-GB"/>
        </w:rPr>
        <w:t xml:space="preserve">. </w:t>
      </w:r>
    </w:p>
    <w:p w14:paraId="09767211" w14:textId="409D44F4" w:rsidR="00A138AB" w:rsidRPr="00AE7E99" w:rsidRDefault="00A138AB" w:rsidP="00A138AB">
      <w:pPr>
        <w:rPr>
          <w:sz w:val="22"/>
          <w:lang w:val="en-GB"/>
        </w:rPr>
      </w:pPr>
      <w:r w:rsidRPr="00AE7E99">
        <w:rPr>
          <w:sz w:val="22"/>
          <w:lang w:val="en-GB"/>
        </w:rPr>
        <w:t xml:space="preserve">The </w:t>
      </w:r>
      <w:r w:rsidR="00987B05">
        <w:rPr>
          <w:sz w:val="22"/>
          <w:lang w:val="en-GB"/>
        </w:rPr>
        <w:t>steps of the review are as follows</w:t>
      </w:r>
      <w:r w:rsidRPr="00AE7E99">
        <w:rPr>
          <w:sz w:val="22"/>
          <w:lang w:val="en-GB"/>
        </w:rPr>
        <w:t>:</w:t>
      </w:r>
    </w:p>
    <w:p w14:paraId="212A9DBB" w14:textId="2FF109B2" w:rsidR="00A138AB" w:rsidRPr="00AE7E99" w:rsidRDefault="004B463A" w:rsidP="00A138AB">
      <w:pPr>
        <w:rPr>
          <w:sz w:val="22"/>
          <w:lang w:val="en-GB"/>
        </w:rPr>
      </w:pPr>
      <w:r w:rsidRPr="00AE7E99">
        <w:rPr>
          <w:sz w:val="22"/>
          <w:lang w:val="en-GB"/>
        </w:rPr>
        <w:t>A</w:t>
      </w:r>
      <w:r w:rsidR="00A138AB" w:rsidRPr="00AE7E99">
        <w:rPr>
          <w:sz w:val="22"/>
          <w:lang w:val="en-GB"/>
        </w:rPr>
        <w:t>. Creating a solid understanding of the present governance</w:t>
      </w:r>
      <w:r w:rsidR="001D3384">
        <w:rPr>
          <w:sz w:val="22"/>
          <w:lang w:val="en-GB"/>
        </w:rPr>
        <w:t>,</w:t>
      </w:r>
      <w:r w:rsidR="00044841">
        <w:rPr>
          <w:sz w:val="22"/>
          <w:lang w:val="en-GB"/>
        </w:rPr>
        <w:t xml:space="preserve"> financing</w:t>
      </w:r>
      <w:r w:rsidR="00A138AB" w:rsidRPr="00AE7E99">
        <w:rPr>
          <w:sz w:val="22"/>
          <w:lang w:val="en-GB"/>
        </w:rPr>
        <w:t xml:space="preserve"> structure</w:t>
      </w:r>
      <w:r w:rsidR="001D3384">
        <w:rPr>
          <w:sz w:val="22"/>
          <w:lang w:val="en-GB"/>
        </w:rPr>
        <w:t xml:space="preserve"> and challenges</w:t>
      </w:r>
      <w:r w:rsidR="00A138AB" w:rsidRPr="00AE7E99">
        <w:rPr>
          <w:sz w:val="22"/>
          <w:lang w:val="en-GB"/>
        </w:rPr>
        <w:t xml:space="preserve"> by interviews with </w:t>
      </w:r>
      <w:r w:rsidR="00044841">
        <w:rPr>
          <w:sz w:val="22"/>
          <w:lang w:val="en-GB"/>
        </w:rPr>
        <w:t xml:space="preserve">task force, </w:t>
      </w:r>
      <w:r w:rsidR="00A138AB" w:rsidRPr="00AE7E99">
        <w:rPr>
          <w:sz w:val="22"/>
          <w:lang w:val="en-GB"/>
        </w:rPr>
        <w:t xml:space="preserve">GWP personnel </w:t>
      </w:r>
      <w:r w:rsidR="00A138AB" w:rsidRPr="00AE7E99">
        <w:rPr>
          <w:sz w:val="22"/>
          <w:lang w:val="en-GB"/>
        </w:rPr>
        <w:lastRenderedPageBreak/>
        <w:t xml:space="preserve">and review of </w:t>
      </w:r>
      <w:r w:rsidR="00044841">
        <w:rPr>
          <w:sz w:val="22"/>
          <w:lang w:val="en-GB"/>
        </w:rPr>
        <w:t>documentation</w:t>
      </w:r>
      <w:r w:rsidR="005E5B58">
        <w:rPr>
          <w:sz w:val="22"/>
          <w:lang w:val="en-GB"/>
        </w:rPr>
        <w:t xml:space="preserve"> (Appendix A – Interviewees and questions</w:t>
      </w:r>
      <w:r w:rsidR="00E7564E">
        <w:rPr>
          <w:sz w:val="22"/>
          <w:lang w:val="en-GB"/>
        </w:rPr>
        <w:t xml:space="preserve"> - </w:t>
      </w:r>
      <w:r w:rsidR="00E7564E" w:rsidRPr="005E5B58">
        <w:rPr>
          <w:i/>
          <w:sz w:val="22"/>
          <w:lang w:val="en-GB"/>
        </w:rPr>
        <w:t>TBC</w:t>
      </w:r>
      <w:r w:rsidR="00A138AB" w:rsidRPr="00AE7E99">
        <w:rPr>
          <w:sz w:val="22"/>
          <w:lang w:val="en-GB"/>
        </w:rPr>
        <w:t>).</w:t>
      </w:r>
    </w:p>
    <w:p w14:paraId="011FEA8B" w14:textId="6FBE894E" w:rsidR="00A138AB" w:rsidRPr="00AE7E99" w:rsidRDefault="004B463A" w:rsidP="00A138AB">
      <w:pPr>
        <w:rPr>
          <w:sz w:val="22"/>
          <w:lang w:val="en-GB"/>
        </w:rPr>
      </w:pPr>
      <w:r w:rsidRPr="00AE7E99">
        <w:rPr>
          <w:sz w:val="22"/>
          <w:lang w:val="en-GB"/>
        </w:rPr>
        <w:t>B</w:t>
      </w:r>
      <w:r w:rsidR="00A138AB" w:rsidRPr="00AE7E99">
        <w:rPr>
          <w:sz w:val="22"/>
          <w:lang w:val="en-GB"/>
        </w:rPr>
        <w:t>. Review of</w:t>
      </w:r>
      <w:r w:rsidR="00044841">
        <w:rPr>
          <w:sz w:val="22"/>
          <w:lang w:val="en-GB"/>
        </w:rPr>
        <w:t xml:space="preserve"> governance structures and financing models</w:t>
      </w:r>
      <w:r w:rsidR="00F434B7">
        <w:rPr>
          <w:rStyle w:val="FootnoteReference"/>
          <w:sz w:val="22"/>
          <w:lang w:val="en-GB"/>
        </w:rPr>
        <w:footnoteReference w:id="4"/>
      </w:r>
      <w:r w:rsidR="00044841">
        <w:rPr>
          <w:sz w:val="22"/>
          <w:lang w:val="en-GB"/>
        </w:rPr>
        <w:t xml:space="preserve"> of </w:t>
      </w:r>
      <w:r w:rsidR="00A138AB" w:rsidRPr="00AE7E99">
        <w:rPr>
          <w:sz w:val="22"/>
          <w:lang w:val="en-GB"/>
        </w:rPr>
        <w:t>other relevant g</w:t>
      </w:r>
      <w:r w:rsidR="00044841">
        <w:rPr>
          <w:sz w:val="22"/>
          <w:lang w:val="en-GB"/>
        </w:rPr>
        <w:t>lobal development organisations</w:t>
      </w:r>
      <w:r w:rsidR="00A138AB" w:rsidRPr="00AE7E99">
        <w:rPr>
          <w:sz w:val="22"/>
          <w:lang w:val="en-GB"/>
        </w:rPr>
        <w:t xml:space="preserve"> to be identified together with GWPO</w:t>
      </w:r>
      <w:r w:rsidR="00044841">
        <w:rPr>
          <w:sz w:val="22"/>
          <w:lang w:val="en-GB"/>
        </w:rPr>
        <w:t xml:space="preserve"> (ini</w:t>
      </w:r>
      <w:r w:rsidR="005E5B58">
        <w:rPr>
          <w:sz w:val="22"/>
          <w:lang w:val="en-GB"/>
        </w:rPr>
        <w:t>tial list attached in Appendix B</w:t>
      </w:r>
      <w:r w:rsidR="00044841">
        <w:rPr>
          <w:sz w:val="22"/>
          <w:lang w:val="en-GB"/>
        </w:rPr>
        <w:t>)</w:t>
      </w:r>
      <w:r w:rsidR="00A138AB" w:rsidRPr="00AE7E99">
        <w:rPr>
          <w:sz w:val="22"/>
          <w:lang w:val="en-GB"/>
        </w:rPr>
        <w:t>.</w:t>
      </w:r>
    </w:p>
    <w:p w14:paraId="51CF2B68" w14:textId="7BA65F48" w:rsidR="004167CB" w:rsidRDefault="004B463A" w:rsidP="00A138AB">
      <w:pPr>
        <w:rPr>
          <w:sz w:val="22"/>
          <w:lang w:val="en-GB"/>
        </w:rPr>
      </w:pPr>
      <w:r w:rsidRPr="00AE7E99">
        <w:rPr>
          <w:sz w:val="22"/>
          <w:lang w:val="en-GB"/>
        </w:rPr>
        <w:t>C</w:t>
      </w:r>
      <w:r w:rsidR="00A138AB" w:rsidRPr="00AE7E99">
        <w:rPr>
          <w:sz w:val="22"/>
          <w:lang w:val="en-GB"/>
        </w:rPr>
        <w:t>.</w:t>
      </w:r>
      <w:r w:rsidR="00044841">
        <w:rPr>
          <w:sz w:val="22"/>
          <w:lang w:val="en-GB"/>
        </w:rPr>
        <w:t xml:space="preserve"> </w:t>
      </w:r>
      <w:r w:rsidR="001D3384">
        <w:rPr>
          <w:sz w:val="22"/>
          <w:lang w:val="en-GB"/>
        </w:rPr>
        <w:t>Carry out c</w:t>
      </w:r>
      <w:r w:rsidR="004167CB">
        <w:rPr>
          <w:sz w:val="22"/>
          <w:lang w:val="en-GB"/>
        </w:rPr>
        <w:t>onsultations</w:t>
      </w:r>
      <w:r w:rsidR="007C308D">
        <w:rPr>
          <w:sz w:val="22"/>
          <w:lang w:val="en-GB"/>
        </w:rPr>
        <w:t xml:space="preserve"> facilitated by GWPO Secretariat</w:t>
      </w:r>
      <w:r w:rsidR="004167CB">
        <w:rPr>
          <w:sz w:val="22"/>
          <w:lang w:val="en-GB"/>
        </w:rPr>
        <w:t xml:space="preserve"> with Regional Water Partnerships, strategic allies, funders, selected GWP Partners and the GWPO Secretariat</w:t>
      </w:r>
      <w:r w:rsidR="001D3384">
        <w:rPr>
          <w:sz w:val="22"/>
          <w:lang w:val="en-GB"/>
        </w:rPr>
        <w:t xml:space="preserve"> and feeding the results of the consultations to the Consultant</w:t>
      </w:r>
      <w:r w:rsidR="001D3384">
        <w:rPr>
          <w:rStyle w:val="FootnoteReference"/>
          <w:sz w:val="22"/>
          <w:lang w:val="en-GB"/>
        </w:rPr>
        <w:footnoteReference w:id="5"/>
      </w:r>
      <w:r w:rsidR="004167CB">
        <w:rPr>
          <w:sz w:val="22"/>
          <w:lang w:val="en-GB"/>
        </w:rPr>
        <w:t>.</w:t>
      </w:r>
    </w:p>
    <w:p w14:paraId="7BE452DF" w14:textId="44D79447" w:rsidR="00A138AB" w:rsidRDefault="004167CB" w:rsidP="00A138AB">
      <w:pPr>
        <w:rPr>
          <w:sz w:val="22"/>
          <w:lang w:val="en-GB"/>
        </w:rPr>
      </w:pPr>
      <w:r>
        <w:rPr>
          <w:sz w:val="22"/>
          <w:lang w:val="en-GB"/>
        </w:rPr>
        <w:t xml:space="preserve">D. </w:t>
      </w:r>
      <w:r w:rsidR="00044841">
        <w:rPr>
          <w:sz w:val="22"/>
          <w:lang w:val="en-GB"/>
        </w:rPr>
        <w:t xml:space="preserve">Report from Consultants </w:t>
      </w:r>
      <w:r>
        <w:rPr>
          <w:sz w:val="22"/>
          <w:lang w:val="en-GB"/>
        </w:rPr>
        <w:t>submitted to Task F</w:t>
      </w:r>
      <w:r w:rsidR="00044841">
        <w:rPr>
          <w:sz w:val="22"/>
          <w:lang w:val="en-GB"/>
        </w:rPr>
        <w:t>orce on governance and financing options for GWP</w:t>
      </w:r>
      <w:r w:rsidR="00A138AB" w:rsidRPr="00AE7E99">
        <w:rPr>
          <w:sz w:val="22"/>
          <w:lang w:val="en-GB"/>
        </w:rPr>
        <w:t>.</w:t>
      </w:r>
    </w:p>
    <w:p w14:paraId="6300A963" w14:textId="49E7E65E" w:rsidR="004167CB" w:rsidRDefault="004167CB" w:rsidP="00A138AB">
      <w:pPr>
        <w:rPr>
          <w:sz w:val="22"/>
          <w:lang w:val="en-GB"/>
        </w:rPr>
      </w:pPr>
      <w:r>
        <w:rPr>
          <w:sz w:val="22"/>
          <w:lang w:val="en-GB"/>
        </w:rPr>
        <w:t>The work of the consultant shall be managed by the GWPO Secretariat and guided by the Task Force.</w:t>
      </w:r>
    </w:p>
    <w:p w14:paraId="44674C53" w14:textId="18E3F6F3" w:rsidR="007C308D" w:rsidRDefault="007C308D" w:rsidP="00A138AB">
      <w:pPr>
        <w:rPr>
          <w:sz w:val="22"/>
          <w:lang w:val="en-GB"/>
        </w:rPr>
      </w:pPr>
      <w:r>
        <w:rPr>
          <w:sz w:val="22"/>
          <w:lang w:val="en-GB"/>
        </w:rPr>
        <w:lastRenderedPageBreak/>
        <w:t>The governance entities which need to be reviewed are summarised in the background text above and initial issues are listed below.</w:t>
      </w:r>
    </w:p>
    <w:p w14:paraId="00844753" w14:textId="44989E84" w:rsidR="009732A1" w:rsidRPr="00AE7E99" w:rsidRDefault="004B463A" w:rsidP="00AE7E99">
      <w:pPr>
        <w:pStyle w:val="Heading5"/>
        <w:rPr>
          <w:lang w:val="en-GB"/>
        </w:rPr>
      </w:pPr>
      <w:r w:rsidRPr="00AE7E99">
        <w:rPr>
          <w:lang w:val="en-GB"/>
        </w:rPr>
        <w:t xml:space="preserve">1. </w:t>
      </w:r>
      <w:r w:rsidR="009732A1" w:rsidRPr="00AE7E99">
        <w:rPr>
          <w:lang w:val="en-GB"/>
        </w:rPr>
        <w:t xml:space="preserve">The effectiveness of each of the current governance </w:t>
      </w:r>
      <w:r w:rsidR="00794C7E">
        <w:rPr>
          <w:lang w:val="en-GB"/>
        </w:rPr>
        <w:t>roles</w:t>
      </w:r>
      <w:r w:rsidR="00794C7E" w:rsidRPr="00AE7E99">
        <w:rPr>
          <w:lang w:val="en-GB"/>
        </w:rPr>
        <w:t xml:space="preserve"> </w:t>
      </w:r>
      <w:r w:rsidR="009732A1" w:rsidRPr="00AE7E99">
        <w:rPr>
          <w:lang w:val="en-GB"/>
        </w:rPr>
        <w:t xml:space="preserve">and develop options to improve each </w:t>
      </w:r>
      <w:r w:rsidR="00794C7E">
        <w:rPr>
          <w:lang w:val="en-GB"/>
        </w:rPr>
        <w:t>role</w:t>
      </w:r>
      <w:r w:rsidR="009732A1" w:rsidRPr="00AE7E99">
        <w:rPr>
          <w:lang w:val="en-GB"/>
        </w:rPr>
        <w:t xml:space="preserve">.  </w:t>
      </w:r>
    </w:p>
    <w:p w14:paraId="24E8B476" w14:textId="77777777" w:rsidR="00AE7E99" w:rsidRPr="00AE7E99" w:rsidRDefault="00AE7E99" w:rsidP="00AE7E99">
      <w:pPr>
        <w:pStyle w:val="Heading7"/>
        <w:rPr>
          <w:lang w:val="en-GB"/>
        </w:rPr>
      </w:pPr>
      <w:r w:rsidRPr="00AE7E99">
        <w:rPr>
          <w:lang w:val="en-GB"/>
        </w:rPr>
        <w:t>Network level</w:t>
      </w:r>
    </w:p>
    <w:p w14:paraId="0E5FC6F2" w14:textId="77777777" w:rsidR="00AE7E99" w:rsidRPr="00AE7E99" w:rsidRDefault="00AE7E99" w:rsidP="00AE7E99">
      <w:pPr>
        <w:rPr>
          <w:sz w:val="22"/>
          <w:lang w:val="en-GB"/>
        </w:rPr>
      </w:pPr>
      <w:r w:rsidRPr="00AE7E99">
        <w:rPr>
          <w:sz w:val="22"/>
          <w:lang w:val="en-GB"/>
        </w:rPr>
        <w:t>Network Meeting</w:t>
      </w:r>
    </w:p>
    <w:p w14:paraId="0B5FEE9C" w14:textId="77777777" w:rsidR="00AE7E99" w:rsidRPr="00AE7E99" w:rsidRDefault="00AE7E99" w:rsidP="00AE7E99">
      <w:pPr>
        <w:pStyle w:val="ListParagraph"/>
        <w:numPr>
          <w:ilvl w:val="0"/>
          <w:numId w:val="11"/>
        </w:numPr>
        <w:rPr>
          <w:sz w:val="22"/>
          <w:lang w:val="en-GB"/>
        </w:rPr>
      </w:pPr>
      <w:r w:rsidRPr="00AE7E99">
        <w:rPr>
          <w:sz w:val="22"/>
          <w:lang w:val="en-GB"/>
        </w:rPr>
        <w:t>Review the role of the Network Meeting and options given for transparent and accountable participation of GWP Partners.</w:t>
      </w:r>
    </w:p>
    <w:p w14:paraId="7A518F17" w14:textId="77777777" w:rsidR="00AE7E99" w:rsidRPr="00AE7E99" w:rsidRDefault="00AE7E99" w:rsidP="00AE7E99">
      <w:pPr>
        <w:rPr>
          <w:sz w:val="22"/>
          <w:lang w:val="en-GB"/>
        </w:rPr>
      </w:pPr>
      <w:r w:rsidRPr="00AE7E99">
        <w:rPr>
          <w:sz w:val="22"/>
          <w:lang w:val="en-GB"/>
        </w:rPr>
        <w:t>Regional and Country Water Partnerships</w:t>
      </w:r>
    </w:p>
    <w:p w14:paraId="6F16F76B" w14:textId="7C5E41E9" w:rsidR="00AE7E99" w:rsidRPr="00AE7E99" w:rsidRDefault="00AE7E99" w:rsidP="009732A1">
      <w:pPr>
        <w:pStyle w:val="ListParagraph"/>
        <w:numPr>
          <w:ilvl w:val="0"/>
          <w:numId w:val="11"/>
        </w:numPr>
        <w:rPr>
          <w:rFonts w:cstheme="minorHAnsi"/>
          <w:sz w:val="22"/>
          <w:lang w:val="en-GB"/>
        </w:rPr>
      </w:pPr>
      <w:r w:rsidRPr="00AE7E99">
        <w:rPr>
          <w:sz w:val="22"/>
          <w:lang w:val="en-GB"/>
        </w:rPr>
        <w:t xml:space="preserve">Review of the role the Regional and Country Water Partnerships in the governance structure of GWP in light of their role as groupings of GWP Partners in the GWP Network as well as options for strengthening their representative role within the governance bodies of GWP. </w:t>
      </w:r>
    </w:p>
    <w:p w14:paraId="6FEC7097" w14:textId="7BDF7197" w:rsidR="6D885E57" w:rsidRPr="00AE7E99" w:rsidRDefault="00D12383" w:rsidP="009732A1">
      <w:pPr>
        <w:pStyle w:val="Heading7"/>
        <w:rPr>
          <w:lang w:val="en-GB"/>
        </w:rPr>
      </w:pPr>
      <w:r w:rsidRPr="00AE7E99">
        <w:rPr>
          <w:lang w:val="en-GB"/>
        </w:rPr>
        <w:t>The Global level</w:t>
      </w:r>
    </w:p>
    <w:p w14:paraId="6868D6E3" w14:textId="5DBD4497" w:rsidR="00D12383" w:rsidRPr="00AE7E99" w:rsidRDefault="00D12383" w:rsidP="0098494A">
      <w:pPr>
        <w:ind w:left="360"/>
        <w:jc w:val="both"/>
        <w:rPr>
          <w:sz w:val="22"/>
          <w:lang w:val="en-GB"/>
        </w:rPr>
      </w:pPr>
      <w:r w:rsidRPr="00AE7E99">
        <w:rPr>
          <w:sz w:val="22"/>
          <w:lang w:val="en-GB"/>
        </w:rPr>
        <w:t>Sponsoring Partners and Sponsoring Partners Meeting</w:t>
      </w:r>
    </w:p>
    <w:p w14:paraId="244086DD" w14:textId="77777777" w:rsidR="00D12383" w:rsidRPr="00AE7E99" w:rsidRDefault="00D12383" w:rsidP="0098494A">
      <w:pPr>
        <w:pStyle w:val="ListParagraph"/>
        <w:numPr>
          <w:ilvl w:val="0"/>
          <w:numId w:val="24"/>
        </w:numPr>
        <w:jc w:val="both"/>
        <w:rPr>
          <w:sz w:val="22"/>
          <w:lang w:val="en-GB"/>
        </w:rPr>
      </w:pPr>
      <w:r w:rsidRPr="00AE7E99">
        <w:rPr>
          <w:sz w:val="22"/>
          <w:lang w:val="en-GB"/>
        </w:rPr>
        <w:t>Review the need to expand the number of Sponsoring Partners and any implications for the work of the Sponsoring Partners Meeting.</w:t>
      </w:r>
    </w:p>
    <w:p w14:paraId="55835511" w14:textId="2A634957" w:rsidR="004D12AE" w:rsidRPr="00AE7E99" w:rsidRDefault="004D12AE" w:rsidP="0098494A">
      <w:pPr>
        <w:pStyle w:val="ListParagraph"/>
        <w:numPr>
          <w:ilvl w:val="0"/>
          <w:numId w:val="24"/>
        </w:numPr>
        <w:jc w:val="both"/>
        <w:rPr>
          <w:sz w:val="22"/>
          <w:lang w:val="en-GB"/>
        </w:rPr>
      </w:pPr>
      <w:r w:rsidRPr="00AE7E99">
        <w:rPr>
          <w:sz w:val="22"/>
          <w:lang w:val="en-GB"/>
        </w:rPr>
        <w:lastRenderedPageBreak/>
        <w:t>Review implications of the fact that some Sponsoring Partners are also Financing Partners</w:t>
      </w:r>
    </w:p>
    <w:p w14:paraId="23AC1E9A" w14:textId="22387902" w:rsidR="00D12383" w:rsidRPr="00AE7E99" w:rsidRDefault="00D12383" w:rsidP="0098494A">
      <w:pPr>
        <w:ind w:left="360"/>
        <w:jc w:val="both"/>
        <w:rPr>
          <w:sz w:val="22"/>
          <w:lang w:val="en-GB"/>
        </w:rPr>
      </w:pPr>
      <w:r w:rsidRPr="00AE7E99">
        <w:rPr>
          <w:sz w:val="22"/>
          <w:lang w:val="en-GB"/>
        </w:rPr>
        <w:t>Nomination Committee</w:t>
      </w:r>
    </w:p>
    <w:p w14:paraId="2CF08559" w14:textId="6BB2C7C9" w:rsidR="00D12383" w:rsidRPr="00AE7E99" w:rsidRDefault="004D12AE" w:rsidP="0098494A">
      <w:pPr>
        <w:pStyle w:val="ListParagraph"/>
        <w:numPr>
          <w:ilvl w:val="0"/>
          <w:numId w:val="24"/>
        </w:numPr>
        <w:jc w:val="both"/>
        <w:rPr>
          <w:sz w:val="22"/>
          <w:lang w:val="en-GB"/>
        </w:rPr>
      </w:pPr>
      <w:r w:rsidRPr="00AE7E99">
        <w:rPr>
          <w:sz w:val="22"/>
          <w:lang w:val="en-GB"/>
        </w:rPr>
        <w:t>Review the appointment of Nomination Committee members to ensure improved transparency and accountability of nomination process for the GWP bodies.</w:t>
      </w:r>
    </w:p>
    <w:p w14:paraId="7E218C5C" w14:textId="7CDA75CA" w:rsidR="004D12AE" w:rsidRPr="00AE7E99" w:rsidRDefault="004D12AE" w:rsidP="0098494A">
      <w:pPr>
        <w:pStyle w:val="ListParagraph"/>
        <w:numPr>
          <w:ilvl w:val="0"/>
          <w:numId w:val="24"/>
        </w:numPr>
        <w:jc w:val="both"/>
        <w:rPr>
          <w:sz w:val="22"/>
          <w:lang w:val="en-GB"/>
        </w:rPr>
      </w:pPr>
      <w:r w:rsidRPr="00AE7E99">
        <w:rPr>
          <w:sz w:val="22"/>
          <w:lang w:val="en-GB"/>
        </w:rPr>
        <w:t>Review the appointment processes for the various GWP bodies.</w:t>
      </w:r>
    </w:p>
    <w:p w14:paraId="53B815A0" w14:textId="2FA268B6" w:rsidR="004D12AE" w:rsidRPr="00AE7E99" w:rsidRDefault="004D12AE" w:rsidP="0098494A">
      <w:pPr>
        <w:ind w:left="360"/>
        <w:jc w:val="both"/>
        <w:rPr>
          <w:sz w:val="22"/>
          <w:lang w:val="en-GB"/>
        </w:rPr>
      </w:pPr>
      <w:r w:rsidRPr="00AE7E99">
        <w:rPr>
          <w:sz w:val="22"/>
          <w:lang w:val="en-GB"/>
        </w:rPr>
        <w:t>Steering Committee</w:t>
      </w:r>
    </w:p>
    <w:p w14:paraId="00FB2DA0" w14:textId="7348ACCA" w:rsidR="00A138AB" w:rsidRDefault="004D12AE" w:rsidP="00AE7E99">
      <w:pPr>
        <w:pStyle w:val="ListParagraph"/>
        <w:numPr>
          <w:ilvl w:val="0"/>
          <w:numId w:val="24"/>
        </w:numPr>
        <w:jc w:val="both"/>
        <w:rPr>
          <w:sz w:val="22"/>
          <w:lang w:val="en-GB"/>
        </w:rPr>
      </w:pPr>
      <w:r w:rsidRPr="00AE7E99">
        <w:rPr>
          <w:sz w:val="22"/>
          <w:lang w:val="en-GB"/>
        </w:rPr>
        <w:t>Review the representation on the Steering Committee</w:t>
      </w:r>
      <w:r w:rsidR="00987B05">
        <w:rPr>
          <w:sz w:val="22"/>
          <w:lang w:val="en-GB"/>
        </w:rPr>
        <w:t>’s voting members</w:t>
      </w:r>
      <w:r w:rsidRPr="00AE7E99">
        <w:rPr>
          <w:sz w:val="22"/>
          <w:lang w:val="en-GB"/>
        </w:rPr>
        <w:t xml:space="preserve"> in light of the composition of GWPO and the GWP Network. </w:t>
      </w:r>
    </w:p>
    <w:p w14:paraId="02DC9E24" w14:textId="619D5049" w:rsidR="00EB4EEC" w:rsidRPr="00AE7E99" w:rsidRDefault="00EB4EEC" w:rsidP="00AE7E99">
      <w:pPr>
        <w:pStyle w:val="ListParagraph"/>
        <w:numPr>
          <w:ilvl w:val="0"/>
          <w:numId w:val="24"/>
        </w:numPr>
        <w:jc w:val="both"/>
        <w:rPr>
          <w:sz w:val="22"/>
          <w:lang w:val="en-GB"/>
        </w:rPr>
      </w:pPr>
      <w:r>
        <w:rPr>
          <w:sz w:val="22"/>
          <w:lang w:val="en-GB"/>
        </w:rPr>
        <w:t xml:space="preserve">Review the </w:t>
      </w:r>
      <w:r w:rsidR="00F32696">
        <w:rPr>
          <w:sz w:val="22"/>
          <w:lang w:val="en-GB"/>
        </w:rPr>
        <w:t>T</w:t>
      </w:r>
      <w:r>
        <w:rPr>
          <w:sz w:val="22"/>
          <w:lang w:val="en-GB"/>
        </w:rPr>
        <w:t xml:space="preserve">erms of </w:t>
      </w:r>
      <w:r w:rsidR="00F32696">
        <w:rPr>
          <w:sz w:val="22"/>
          <w:lang w:val="en-GB"/>
        </w:rPr>
        <w:t>R</w:t>
      </w:r>
      <w:r>
        <w:rPr>
          <w:sz w:val="22"/>
          <w:lang w:val="en-GB"/>
        </w:rPr>
        <w:t>eference for the GWP Chair to clarify the role</w:t>
      </w:r>
      <w:r w:rsidR="00F32696">
        <w:rPr>
          <w:sz w:val="22"/>
          <w:lang w:val="en-GB"/>
        </w:rPr>
        <w:t xml:space="preserve"> in relation to the other governance and executive roles</w:t>
      </w:r>
      <w:r>
        <w:rPr>
          <w:sz w:val="22"/>
          <w:lang w:val="en-GB"/>
        </w:rPr>
        <w:t>.</w:t>
      </w:r>
    </w:p>
    <w:p w14:paraId="072FBAD3" w14:textId="2E05FEBA" w:rsidR="000403A0" w:rsidRPr="00AE7E99" w:rsidRDefault="000403A0" w:rsidP="0098494A">
      <w:pPr>
        <w:ind w:left="360"/>
        <w:jc w:val="both"/>
        <w:rPr>
          <w:sz w:val="22"/>
          <w:lang w:val="en-GB"/>
        </w:rPr>
      </w:pPr>
      <w:r w:rsidRPr="00AE7E99">
        <w:rPr>
          <w:sz w:val="22"/>
          <w:lang w:val="en-GB"/>
        </w:rPr>
        <w:t xml:space="preserve"> Leadership</w:t>
      </w:r>
      <w:r w:rsidR="00453164">
        <w:rPr>
          <w:sz w:val="22"/>
          <w:lang w:val="en-GB"/>
        </w:rPr>
        <w:t xml:space="preserve"> -Team</w:t>
      </w:r>
    </w:p>
    <w:p w14:paraId="09061CE8" w14:textId="3709F811" w:rsidR="000403A0" w:rsidRPr="00AE7E99" w:rsidRDefault="000403A0" w:rsidP="0098494A">
      <w:pPr>
        <w:pStyle w:val="ListParagraph"/>
        <w:numPr>
          <w:ilvl w:val="0"/>
          <w:numId w:val="24"/>
        </w:numPr>
        <w:jc w:val="both"/>
        <w:rPr>
          <w:sz w:val="22"/>
          <w:lang w:val="en-GB"/>
        </w:rPr>
      </w:pPr>
      <w:r w:rsidRPr="00AE7E99">
        <w:rPr>
          <w:sz w:val="22"/>
          <w:lang w:val="en-GB"/>
        </w:rPr>
        <w:t>Review the Terms o</w:t>
      </w:r>
      <w:r w:rsidR="00AE7E99">
        <w:rPr>
          <w:sz w:val="22"/>
          <w:lang w:val="en-GB"/>
        </w:rPr>
        <w:t xml:space="preserve">f Reference for </w:t>
      </w:r>
      <w:r w:rsidR="00EB4EEC">
        <w:rPr>
          <w:sz w:val="22"/>
          <w:lang w:val="en-GB"/>
        </w:rPr>
        <w:t>the</w:t>
      </w:r>
      <w:r w:rsidR="00AE7E99">
        <w:rPr>
          <w:sz w:val="22"/>
          <w:lang w:val="en-GB"/>
        </w:rPr>
        <w:t xml:space="preserve"> L</w:t>
      </w:r>
      <w:r w:rsidRPr="00AE7E99">
        <w:rPr>
          <w:sz w:val="22"/>
          <w:lang w:val="en-GB"/>
        </w:rPr>
        <w:t>eadership</w:t>
      </w:r>
      <w:r w:rsidR="00453164">
        <w:rPr>
          <w:sz w:val="22"/>
          <w:lang w:val="en-GB"/>
        </w:rPr>
        <w:t xml:space="preserve"> Team</w:t>
      </w:r>
      <w:r w:rsidR="00987B05">
        <w:rPr>
          <w:sz w:val="22"/>
          <w:lang w:val="en-GB"/>
        </w:rPr>
        <w:t xml:space="preserve"> </w:t>
      </w:r>
      <w:r w:rsidR="00987B05" w:rsidRPr="00AE7E99">
        <w:rPr>
          <w:sz w:val="22"/>
          <w:lang w:val="en-GB"/>
        </w:rPr>
        <w:t>role</w:t>
      </w:r>
      <w:r w:rsidR="00EB4EEC">
        <w:rPr>
          <w:sz w:val="22"/>
          <w:lang w:val="en-GB"/>
        </w:rPr>
        <w:t>s</w:t>
      </w:r>
      <w:r w:rsidR="00987B05">
        <w:rPr>
          <w:sz w:val="22"/>
          <w:lang w:val="en-GB"/>
        </w:rPr>
        <w:t xml:space="preserve"> (GWP Executive Secretary, </w:t>
      </w:r>
      <w:r w:rsidR="0037593D">
        <w:rPr>
          <w:sz w:val="22"/>
          <w:lang w:val="en-GB"/>
        </w:rPr>
        <w:t xml:space="preserve">Deputy Executive Secretary and </w:t>
      </w:r>
      <w:r w:rsidR="00987B05">
        <w:rPr>
          <w:sz w:val="22"/>
          <w:lang w:val="en-GB"/>
        </w:rPr>
        <w:t>GWP Chair of the Technical Committee)</w:t>
      </w:r>
      <w:r w:rsidRPr="00AE7E99">
        <w:rPr>
          <w:sz w:val="22"/>
          <w:lang w:val="en-GB"/>
        </w:rPr>
        <w:t xml:space="preserve"> and propose options to clarify the roles in relation to each other</w:t>
      </w:r>
      <w:r w:rsidR="00F32696">
        <w:rPr>
          <w:sz w:val="22"/>
          <w:lang w:val="en-GB"/>
        </w:rPr>
        <w:t xml:space="preserve"> as well as to the GWP Chair</w:t>
      </w:r>
      <w:r w:rsidRPr="00AE7E99">
        <w:rPr>
          <w:sz w:val="22"/>
          <w:lang w:val="en-GB"/>
        </w:rPr>
        <w:t>.</w:t>
      </w:r>
    </w:p>
    <w:p w14:paraId="735B7434" w14:textId="4F46900F" w:rsidR="000403A0" w:rsidRPr="00AE7E99" w:rsidRDefault="000403A0" w:rsidP="0098494A">
      <w:pPr>
        <w:ind w:left="360"/>
        <w:jc w:val="both"/>
        <w:rPr>
          <w:sz w:val="22"/>
          <w:lang w:val="en-GB"/>
        </w:rPr>
      </w:pPr>
      <w:r w:rsidRPr="00AE7E99">
        <w:rPr>
          <w:sz w:val="22"/>
          <w:lang w:val="en-GB"/>
        </w:rPr>
        <w:t>Financing Partners Group</w:t>
      </w:r>
    </w:p>
    <w:p w14:paraId="4AF6162B" w14:textId="537ADABA" w:rsidR="00D12383" w:rsidRPr="00AE7E99" w:rsidRDefault="000403A0" w:rsidP="00A138AB">
      <w:pPr>
        <w:pStyle w:val="ListParagraph"/>
        <w:numPr>
          <w:ilvl w:val="0"/>
          <w:numId w:val="24"/>
        </w:numPr>
        <w:jc w:val="both"/>
        <w:rPr>
          <w:sz w:val="22"/>
          <w:lang w:val="en-GB"/>
        </w:rPr>
      </w:pPr>
      <w:r w:rsidRPr="00AE7E99">
        <w:rPr>
          <w:sz w:val="22"/>
          <w:lang w:val="en-GB"/>
        </w:rPr>
        <w:lastRenderedPageBreak/>
        <w:t>Review the advisory role of the Financing Partners Group</w:t>
      </w:r>
      <w:r w:rsidR="00B555A3" w:rsidRPr="00AE7E99">
        <w:rPr>
          <w:sz w:val="22"/>
          <w:lang w:val="en-GB"/>
        </w:rPr>
        <w:t xml:space="preserve"> in relation to the overall governance structure of GWP.</w:t>
      </w:r>
      <w:r w:rsidR="00D12383" w:rsidRPr="00AE7E99">
        <w:rPr>
          <w:sz w:val="22"/>
          <w:lang w:val="en-GB"/>
        </w:rPr>
        <w:t xml:space="preserve"> </w:t>
      </w:r>
    </w:p>
    <w:p w14:paraId="355E0394" w14:textId="5321104D" w:rsidR="009732A1" w:rsidRPr="00AE7E99" w:rsidRDefault="004B463A" w:rsidP="005C46F9">
      <w:pPr>
        <w:pStyle w:val="Heading3"/>
        <w:rPr>
          <w:lang w:val="en-GB"/>
        </w:rPr>
      </w:pPr>
      <w:r w:rsidRPr="00AE7E99">
        <w:rPr>
          <w:lang w:val="en-GB"/>
        </w:rPr>
        <w:t>2. Review</w:t>
      </w:r>
      <w:r w:rsidR="005113ED" w:rsidRPr="00AE7E99">
        <w:rPr>
          <w:lang w:val="en-GB"/>
        </w:rPr>
        <w:t xml:space="preserve"> options for organizing </w:t>
      </w:r>
      <w:r w:rsidR="007C308D">
        <w:rPr>
          <w:lang w:val="en-GB"/>
        </w:rPr>
        <w:t xml:space="preserve">the </w:t>
      </w:r>
      <w:r w:rsidR="007C308D" w:rsidRPr="00AE7E99">
        <w:rPr>
          <w:lang w:val="en-GB"/>
        </w:rPr>
        <w:t xml:space="preserve">financing </w:t>
      </w:r>
      <w:r w:rsidR="007C308D">
        <w:rPr>
          <w:lang w:val="en-GB"/>
        </w:rPr>
        <w:t xml:space="preserve">of </w:t>
      </w:r>
      <w:r w:rsidR="007C308D" w:rsidRPr="00AE7E99">
        <w:rPr>
          <w:lang w:val="en-GB"/>
        </w:rPr>
        <w:t xml:space="preserve">GWP/GWPO </w:t>
      </w:r>
      <w:r w:rsidR="007C308D">
        <w:rPr>
          <w:lang w:val="en-GB"/>
        </w:rPr>
        <w:t>operations</w:t>
      </w:r>
      <w:r w:rsidR="005113ED" w:rsidRPr="00AE7E99">
        <w:rPr>
          <w:lang w:val="en-GB"/>
        </w:rPr>
        <w:t xml:space="preserve"> so that the Global Water Partnership is sustainable in the future. </w:t>
      </w:r>
    </w:p>
    <w:p w14:paraId="058215FD" w14:textId="1F506505" w:rsidR="005D0F68" w:rsidRPr="007C308D" w:rsidRDefault="004B0B55" w:rsidP="005D0F68">
      <w:pPr>
        <w:pStyle w:val="ListParagraph"/>
        <w:numPr>
          <w:ilvl w:val="0"/>
          <w:numId w:val="15"/>
        </w:numPr>
        <w:rPr>
          <w:lang w:val="en-GB"/>
        </w:rPr>
      </w:pPr>
      <w:r w:rsidRPr="00AE7E99">
        <w:rPr>
          <w:sz w:val="22"/>
          <w:lang w:val="en-GB"/>
        </w:rPr>
        <w:t xml:space="preserve">Review of </w:t>
      </w:r>
      <w:r w:rsidR="00E27AD4" w:rsidRPr="00AE7E99">
        <w:rPr>
          <w:sz w:val="22"/>
          <w:lang w:val="en-GB"/>
        </w:rPr>
        <w:t xml:space="preserve">the business model of GWP </w:t>
      </w:r>
      <w:r w:rsidR="00CF0D69" w:rsidRPr="00AE7E99">
        <w:rPr>
          <w:sz w:val="22"/>
          <w:lang w:val="en-GB"/>
        </w:rPr>
        <w:t xml:space="preserve">and options for new </w:t>
      </w:r>
      <w:r w:rsidR="007C308D">
        <w:rPr>
          <w:sz w:val="22"/>
          <w:lang w:val="en-GB"/>
        </w:rPr>
        <w:t>financing methods to enhance the sustainability</w:t>
      </w:r>
      <w:r w:rsidR="007767B4" w:rsidRPr="00AE7E99">
        <w:rPr>
          <w:sz w:val="22"/>
          <w:lang w:val="en-GB"/>
        </w:rPr>
        <w:t xml:space="preserve"> of GWP. </w:t>
      </w:r>
    </w:p>
    <w:p w14:paraId="461B45C5" w14:textId="47B86AED" w:rsidR="007C308D" w:rsidRPr="007C308D" w:rsidRDefault="007C308D" w:rsidP="007C308D">
      <w:pPr>
        <w:pStyle w:val="ListParagraph"/>
        <w:jc w:val="center"/>
        <w:rPr>
          <w:lang w:val="en-GB"/>
        </w:rPr>
      </w:pPr>
      <w:r>
        <w:rPr>
          <w:sz w:val="22"/>
          <w:lang w:val="en-GB"/>
        </w:rPr>
        <w:t>****</w:t>
      </w:r>
    </w:p>
    <w:p w14:paraId="361755CA" w14:textId="000AC09F" w:rsidR="00B05116" w:rsidRPr="00AE7E99" w:rsidRDefault="007C308D" w:rsidP="00AE7E99">
      <w:pPr>
        <w:pStyle w:val="Heading3"/>
        <w:rPr>
          <w:lang w:val="en-GB"/>
        </w:rPr>
      </w:pPr>
      <w:r>
        <w:rPr>
          <w:lang w:val="en-GB"/>
        </w:rPr>
        <w:t xml:space="preserve">GWP </w:t>
      </w:r>
      <w:r w:rsidR="005D0F68" w:rsidRPr="00AE7E99">
        <w:rPr>
          <w:lang w:val="en-GB"/>
        </w:rPr>
        <w:t>Task force members</w:t>
      </w:r>
    </w:p>
    <w:p w14:paraId="23A0373A" w14:textId="7A43F0A2" w:rsidR="005D0F68" w:rsidRPr="00AE7E99" w:rsidRDefault="005D0F68" w:rsidP="005D0F68">
      <w:pPr>
        <w:rPr>
          <w:sz w:val="22"/>
          <w:lang w:val="en-GB"/>
        </w:rPr>
      </w:pPr>
      <w:r w:rsidRPr="00AE7E99">
        <w:rPr>
          <w:sz w:val="22"/>
          <w:lang w:val="en-GB"/>
        </w:rPr>
        <w:t xml:space="preserve">GWP Chair, Ursula </w:t>
      </w:r>
      <w:proofErr w:type="spellStart"/>
      <w:r w:rsidRPr="00AE7E99">
        <w:rPr>
          <w:sz w:val="22"/>
          <w:lang w:val="en-GB"/>
        </w:rPr>
        <w:t>Schäfer-Preuss</w:t>
      </w:r>
      <w:proofErr w:type="spellEnd"/>
      <w:r w:rsidR="006726DD" w:rsidRPr="00AE7E99">
        <w:rPr>
          <w:sz w:val="22"/>
          <w:lang w:val="en-GB"/>
        </w:rPr>
        <w:t>,</w:t>
      </w:r>
      <w:r w:rsidR="009B4100" w:rsidRPr="00AE7E99">
        <w:rPr>
          <w:sz w:val="22"/>
          <w:lang w:val="en-GB"/>
        </w:rPr>
        <w:t xml:space="preserve"> GWP ES</w:t>
      </w:r>
      <w:r w:rsidR="00AE7E99">
        <w:rPr>
          <w:sz w:val="22"/>
          <w:lang w:val="en-GB"/>
        </w:rPr>
        <w:t>,</w:t>
      </w:r>
      <w:r w:rsidR="009B4100" w:rsidRPr="00AE7E99">
        <w:rPr>
          <w:sz w:val="22"/>
          <w:lang w:val="en-GB"/>
        </w:rPr>
        <w:t xml:space="preserve"> Ania Grobicki</w:t>
      </w:r>
      <w:r w:rsidR="00F434B7">
        <w:rPr>
          <w:sz w:val="22"/>
          <w:lang w:val="en-GB"/>
        </w:rPr>
        <w:t xml:space="preserve">, GWP DES, Rudolph </w:t>
      </w:r>
      <w:proofErr w:type="spellStart"/>
      <w:r w:rsidR="00F434B7">
        <w:rPr>
          <w:sz w:val="22"/>
          <w:lang w:val="en-GB"/>
        </w:rPr>
        <w:t>Cleveringa</w:t>
      </w:r>
      <w:proofErr w:type="spellEnd"/>
      <w:r w:rsidR="00F434B7">
        <w:rPr>
          <w:sz w:val="22"/>
          <w:lang w:val="en-GB"/>
        </w:rPr>
        <w:t xml:space="preserve"> (upon commencement of appointment)</w:t>
      </w:r>
    </w:p>
    <w:p w14:paraId="52264608" w14:textId="16788C5F" w:rsidR="00F16D5E" w:rsidRPr="00AE7E99" w:rsidRDefault="00F16D5E" w:rsidP="005D0F68">
      <w:pPr>
        <w:rPr>
          <w:sz w:val="22"/>
          <w:lang w:val="en-GB"/>
        </w:rPr>
      </w:pPr>
      <w:r w:rsidRPr="00AE7E99">
        <w:rPr>
          <w:sz w:val="22"/>
          <w:lang w:val="en-GB"/>
        </w:rPr>
        <w:t>Financial Partners Group</w:t>
      </w:r>
      <w:r w:rsidR="008C5009" w:rsidRPr="00AE7E99">
        <w:rPr>
          <w:sz w:val="22"/>
          <w:lang w:val="en-GB"/>
        </w:rPr>
        <w:t xml:space="preserve">: </w:t>
      </w:r>
      <w:proofErr w:type="spellStart"/>
      <w:r w:rsidR="008C5009" w:rsidRPr="00AE7E99">
        <w:rPr>
          <w:sz w:val="22"/>
          <w:lang w:val="en-GB"/>
        </w:rPr>
        <w:t>Danida</w:t>
      </w:r>
      <w:proofErr w:type="spellEnd"/>
      <w:r w:rsidR="009062EE">
        <w:rPr>
          <w:sz w:val="22"/>
          <w:lang w:val="en-GB"/>
        </w:rPr>
        <w:t xml:space="preserve"> </w:t>
      </w:r>
      <w:r w:rsidR="007969BD">
        <w:rPr>
          <w:sz w:val="22"/>
          <w:lang w:val="en-GB"/>
        </w:rPr>
        <w:t>and SDC</w:t>
      </w:r>
    </w:p>
    <w:p w14:paraId="34608262" w14:textId="7300E3DC" w:rsidR="00F16D5E" w:rsidRPr="00AE7E99" w:rsidRDefault="00F16D5E" w:rsidP="005D0F68">
      <w:pPr>
        <w:rPr>
          <w:sz w:val="22"/>
          <w:lang w:val="en-GB"/>
        </w:rPr>
      </w:pPr>
      <w:r w:rsidRPr="00AE7E99">
        <w:rPr>
          <w:sz w:val="22"/>
          <w:lang w:val="en-GB"/>
        </w:rPr>
        <w:t>S</w:t>
      </w:r>
      <w:r w:rsidR="008D0D37" w:rsidRPr="00AE7E99">
        <w:rPr>
          <w:sz w:val="22"/>
          <w:lang w:val="en-GB"/>
        </w:rPr>
        <w:t>teering Committee member</w:t>
      </w:r>
      <w:r w:rsidR="008C5009" w:rsidRPr="00AE7E99">
        <w:rPr>
          <w:sz w:val="22"/>
          <w:lang w:val="en-GB"/>
        </w:rPr>
        <w:t xml:space="preserve">: </w:t>
      </w:r>
      <w:proofErr w:type="spellStart"/>
      <w:r w:rsidR="00F434B7">
        <w:rPr>
          <w:sz w:val="22"/>
          <w:lang w:val="en-GB"/>
        </w:rPr>
        <w:t>Khin</w:t>
      </w:r>
      <w:proofErr w:type="spellEnd"/>
      <w:r w:rsidR="00F434B7">
        <w:rPr>
          <w:sz w:val="22"/>
          <w:lang w:val="en-GB"/>
        </w:rPr>
        <w:t xml:space="preserve"> </w:t>
      </w:r>
      <w:proofErr w:type="spellStart"/>
      <w:r w:rsidR="00E167AB" w:rsidRPr="00AE7E99">
        <w:rPr>
          <w:sz w:val="22"/>
          <w:lang w:val="en-GB"/>
        </w:rPr>
        <w:t>NiNi</w:t>
      </w:r>
      <w:proofErr w:type="spellEnd"/>
      <w:r w:rsidR="00E167AB" w:rsidRPr="00AE7E99">
        <w:rPr>
          <w:sz w:val="22"/>
          <w:lang w:val="en-GB"/>
        </w:rPr>
        <w:t xml:space="preserve"> </w:t>
      </w:r>
      <w:proofErr w:type="spellStart"/>
      <w:r w:rsidR="00E167AB" w:rsidRPr="00AE7E99">
        <w:rPr>
          <w:sz w:val="22"/>
          <w:lang w:val="en-GB"/>
        </w:rPr>
        <w:t>Thein</w:t>
      </w:r>
      <w:proofErr w:type="spellEnd"/>
    </w:p>
    <w:p w14:paraId="32F51649" w14:textId="03D10503" w:rsidR="008D0D37" w:rsidRPr="00AE7E99" w:rsidRDefault="008D0D37" w:rsidP="005D0F68">
      <w:pPr>
        <w:rPr>
          <w:sz w:val="22"/>
          <w:lang w:val="en-GB"/>
        </w:rPr>
      </w:pPr>
      <w:r w:rsidRPr="00AE7E99">
        <w:rPr>
          <w:sz w:val="22"/>
          <w:lang w:val="en-GB"/>
        </w:rPr>
        <w:t>RWP</w:t>
      </w:r>
      <w:r w:rsidR="004C097B" w:rsidRPr="00AE7E99">
        <w:rPr>
          <w:sz w:val="22"/>
          <w:lang w:val="en-GB"/>
        </w:rPr>
        <w:t>s</w:t>
      </w:r>
      <w:r w:rsidR="00E167AB" w:rsidRPr="00AE7E99">
        <w:rPr>
          <w:sz w:val="22"/>
          <w:lang w:val="en-GB"/>
        </w:rPr>
        <w:t>: Judy Dani</w:t>
      </w:r>
      <w:r w:rsidR="00044841">
        <w:rPr>
          <w:sz w:val="22"/>
          <w:lang w:val="en-GB"/>
        </w:rPr>
        <w:t xml:space="preserve">els (Chair of Regional Chairs - Caribbean), Ruth </w:t>
      </w:r>
      <w:proofErr w:type="spellStart"/>
      <w:r w:rsidR="00044841">
        <w:rPr>
          <w:sz w:val="22"/>
          <w:lang w:val="en-GB"/>
        </w:rPr>
        <w:t>Beukman</w:t>
      </w:r>
      <w:proofErr w:type="spellEnd"/>
      <w:r w:rsidR="00044841">
        <w:rPr>
          <w:sz w:val="22"/>
          <w:lang w:val="en-GB"/>
        </w:rPr>
        <w:t xml:space="preserve"> (Regional Coordinator – Southern Africa)</w:t>
      </w:r>
    </w:p>
    <w:p w14:paraId="737D733E" w14:textId="5C375CA5" w:rsidR="008D0D37" w:rsidRDefault="00E167AB" w:rsidP="005D0F68">
      <w:pPr>
        <w:rPr>
          <w:sz w:val="22"/>
        </w:rPr>
      </w:pPr>
      <w:r w:rsidRPr="007C308D">
        <w:rPr>
          <w:sz w:val="22"/>
        </w:rPr>
        <w:t xml:space="preserve">GWPO </w:t>
      </w:r>
      <w:r w:rsidR="007C308D" w:rsidRPr="007C308D">
        <w:rPr>
          <w:sz w:val="22"/>
        </w:rPr>
        <w:t>Secretariat:</w:t>
      </w:r>
      <w:r w:rsidR="007B7ED8" w:rsidRPr="007C308D">
        <w:rPr>
          <w:sz w:val="22"/>
        </w:rPr>
        <w:t xml:space="preserve"> </w:t>
      </w:r>
      <w:r w:rsidR="56240008" w:rsidRPr="007C308D">
        <w:rPr>
          <w:sz w:val="22"/>
        </w:rPr>
        <w:t>Francois Brikké</w:t>
      </w:r>
      <w:r w:rsidR="00044841" w:rsidRPr="007C308D">
        <w:rPr>
          <w:sz w:val="22"/>
        </w:rPr>
        <w:t xml:space="preserve"> (Chair Staff Association), Fraser McLeod</w:t>
      </w:r>
      <w:r w:rsidR="00F434B7">
        <w:rPr>
          <w:sz w:val="22"/>
        </w:rPr>
        <w:t xml:space="preserve"> and Catharina </w:t>
      </w:r>
      <w:proofErr w:type="spellStart"/>
      <w:r w:rsidR="00F434B7">
        <w:rPr>
          <w:sz w:val="22"/>
        </w:rPr>
        <w:t>Sahlin</w:t>
      </w:r>
      <w:proofErr w:type="spellEnd"/>
      <w:r w:rsidR="00F434B7">
        <w:rPr>
          <w:sz w:val="22"/>
        </w:rPr>
        <w:t xml:space="preserve"> </w:t>
      </w:r>
      <w:proofErr w:type="spellStart"/>
      <w:r w:rsidR="00F434B7">
        <w:rPr>
          <w:sz w:val="22"/>
        </w:rPr>
        <w:t>Tegnander</w:t>
      </w:r>
      <w:proofErr w:type="spellEnd"/>
      <w:r w:rsidR="00044841" w:rsidRPr="007C308D">
        <w:rPr>
          <w:sz w:val="22"/>
        </w:rPr>
        <w:t xml:space="preserve"> (Management Team)</w:t>
      </w:r>
    </w:p>
    <w:p w14:paraId="267EAE3C" w14:textId="1596139F" w:rsidR="009062EE" w:rsidRDefault="009062EE" w:rsidP="005D0F68">
      <w:pPr>
        <w:rPr>
          <w:sz w:val="22"/>
        </w:rPr>
      </w:pPr>
    </w:p>
    <w:p w14:paraId="225442DE" w14:textId="77777777" w:rsidR="009062EE" w:rsidRPr="007C308D" w:rsidRDefault="009062EE" w:rsidP="005D0F68">
      <w:pPr>
        <w:rPr>
          <w:sz w:val="22"/>
        </w:rPr>
      </w:pPr>
    </w:p>
    <w:p w14:paraId="20A69019" w14:textId="77777777" w:rsidR="007C308D" w:rsidRPr="007C308D" w:rsidRDefault="007C308D" w:rsidP="007C308D">
      <w:pPr>
        <w:pStyle w:val="Heading3"/>
        <w:rPr>
          <w:lang w:val="en-GB"/>
        </w:rPr>
      </w:pPr>
      <w:r w:rsidRPr="007C308D">
        <w:rPr>
          <w:lang w:val="en-GB"/>
        </w:rPr>
        <w:t>Road Map</w:t>
      </w:r>
    </w:p>
    <w:p w14:paraId="30F2CC00" w14:textId="10DD4E56" w:rsidR="007C308D" w:rsidRPr="007C308D" w:rsidRDefault="007C308D" w:rsidP="007C308D">
      <w:pPr>
        <w:rPr>
          <w:sz w:val="22"/>
          <w:lang w:val="en-GB"/>
        </w:rPr>
      </w:pPr>
      <w:r w:rsidRPr="007C308D">
        <w:rPr>
          <w:sz w:val="22"/>
          <w:lang w:val="en-GB"/>
        </w:rPr>
        <w:t xml:space="preserve">The following </w:t>
      </w:r>
      <w:r w:rsidR="00F434B7">
        <w:rPr>
          <w:sz w:val="22"/>
          <w:lang w:val="en-GB"/>
        </w:rPr>
        <w:t xml:space="preserve">preliminary </w:t>
      </w:r>
      <w:r w:rsidRPr="007C308D">
        <w:rPr>
          <w:sz w:val="22"/>
          <w:lang w:val="en-GB"/>
        </w:rPr>
        <w:t>timeline for the review process is proposed</w:t>
      </w:r>
      <w:r>
        <w:rPr>
          <w:sz w:val="22"/>
          <w:lang w:val="en-GB"/>
        </w:rPr>
        <w:t>:</w:t>
      </w:r>
    </w:p>
    <w:tbl>
      <w:tblPr>
        <w:tblStyle w:val="TableGrid"/>
        <w:tblW w:w="0" w:type="auto"/>
        <w:tblLook w:val="04A0" w:firstRow="1" w:lastRow="0" w:firstColumn="1" w:lastColumn="0" w:noHBand="0" w:noVBand="1"/>
      </w:tblPr>
      <w:tblGrid>
        <w:gridCol w:w="1825"/>
        <w:gridCol w:w="7236"/>
      </w:tblGrid>
      <w:tr w:rsidR="00206F0C" w:rsidRPr="007C308D" w14:paraId="22573A05" w14:textId="77777777" w:rsidTr="00206F0C">
        <w:tc>
          <w:tcPr>
            <w:tcW w:w="1825" w:type="dxa"/>
          </w:tcPr>
          <w:p w14:paraId="6D88E953" w14:textId="77777777" w:rsidR="007C308D" w:rsidRPr="007C308D" w:rsidRDefault="007C308D" w:rsidP="007C308D">
            <w:pPr>
              <w:spacing w:after="200" w:line="276" w:lineRule="auto"/>
              <w:rPr>
                <w:b/>
                <w:sz w:val="22"/>
                <w:lang w:val="en-GB"/>
              </w:rPr>
            </w:pPr>
            <w:r w:rsidRPr="007C308D">
              <w:rPr>
                <w:b/>
                <w:sz w:val="22"/>
                <w:lang w:val="en-GB"/>
              </w:rPr>
              <w:t>Date</w:t>
            </w:r>
          </w:p>
        </w:tc>
        <w:tc>
          <w:tcPr>
            <w:tcW w:w="7236" w:type="dxa"/>
          </w:tcPr>
          <w:p w14:paraId="386C0060" w14:textId="77777777" w:rsidR="007C308D" w:rsidRPr="007C308D" w:rsidRDefault="007C308D" w:rsidP="007C308D">
            <w:pPr>
              <w:spacing w:after="200" w:line="276" w:lineRule="auto"/>
              <w:rPr>
                <w:b/>
                <w:sz w:val="22"/>
                <w:lang w:val="en-GB"/>
              </w:rPr>
            </w:pPr>
            <w:r w:rsidRPr="007C308D">
              <w:rPr>
                <w:b/>
                <w:bCs/>
                <w:sz w:val="22"/>
                <w:lang w:val="en-GB"/>
              </w:rPr>
              <w:t>Description of task</w:t>
            </w:r>
          </w:p>
        </w:tc>
      </w:tr>
      <w:tr w:rsidR="00206F0C" w:rsidRPr="007C308D" w14:paraId="77D4A0B4" w14:textId="77777777" w:rsidTr="00206F0C">
        <w:tc>
          <w:tcPr>
            <w:tcW w:w="1825" w:type="dxa"/>
          </w:tcPr>
          <w:p w14:paraId="07598ED0" w14:textId="0E317805" w:rsidR="007C308D" w:rsidRPr="007C308D" w:rsidRDefault="00F434B7" w:rsidP="007C308D">
            <w:pPr>
              <w:spacing w:after="200" w:line="276" w:lineRule="auto"/>
              <w:rPr>
                <w:sz w:val="22"/>
                <w:lang w:val="en-GB"/>
              </w:rPr>
            </w:pPr>
            <w:r>
              <w:rPr>
                <w:sz w:val="22"/>
                <w:lang w:val="en-GB"/>
              </w:rPr>
              <w:t>Until end of May</w:t>
            </w:r>
          </w:p>
        </w:tc>
        <w:tc>
          <w:tcPr>
            <w:tcW w:w="7236" w:type="dxa"/>
          </w:tcPr>
          <w:p w14:paraId="11C86F7F" w14:textId="77777777" w:rsidR="007C308D" w:rsidRPr="007C308D" w:rsidRDefault="007C308D" w:rsidP="00AE5F3F">
            <w:pPr>
              <w:spacing w:line="276" w:lineRule="auto"/>
              <w:rPr>
                <w:sz w:val="22"/>
                <w:lang w:val="en-GB"/>
              </w:rPr>
            </w:pPr>
            <w:r w:rsidRPr="007C308D">
              <w:rPr>
                <w:sz w:val="22"/>
                <w:lang w:val="en-GB"/>
              </w:rPr>
              <w:t xml:space="preserve">Draft Terms of Reference prepared for procurement. </w:t>
            </w:r>
          </w:p>
          <w:p w14:paraId="516A1BE0" w14:textId="77777777" w:rsidR="007C308D" w:rsidRPr="007C308D" w:rsidRDefault="007C308D" w:rsidP="00AE5F3F">
            <w:pPr>
              <w:spacing w:line="276" w:lineRule="auto"/>
              <w:rPr>
                <w:sz w:val="22"/>
                <w:lang w:val="en-GB"/>
              </w:rPr>
            </w:pPr>
            <w:r w:rsidRPr="007C308D">
              <w:rPr>
                <w:sz w:val="22"/>
                <w:lang w:val="en-GB"/>
              </w:rPr>
              <w:t>Task Force approached and confirmed.</w:t>
            </w:r>
          </w:p>
          <w:p w14:paraId="45B625CA" w14:textId="50E1E440" w:rsidR="007C308D" w:rsidRPr="007C308D" w:rsidRDefault="00F434B7" w:rsidP="00AE5F3F">
            <w:pPr>
              <w:spacing w:line="276" w:lineRule="auto"/>
              <w:rPr>
                <w:sz w:val="22"/>
                <w:lang w:val="en-GB"/>
              </w:rPr>
            </w:pPr>
            <w:r w:rsidRPr="007C308D">
              <w:rPr>
                <w:sz w:val="22"/>
                <w:lang w:val="en-GB"/>
              </w:rPr>
              <w:t>Consultation with Financing Partners</w:t>
            </w:r>
            <w:r>
              <w:rPr>
                <w:sz w:val="22"/>
                <w:lang w:val="en-GB"/>
              </w:rPr>
              <w:t xml:space="preserve"> at Financing Partners Meeting (feedback provided to Task Force and Consultants)</w:t>
            </w:r>
          </w:p>
        </w:tc>
      </w:tr>
      <w:tr w:rsidR="00206F0C" w:rsidRPr="007C308D" w14:paraId="096AD62A" w14:textId="77777777" w:rsidTr="00206F0C">
        <w:tc>
          <w:tcPr>
            <w:tcW w:w="1825" w:type="dxa"/>
          </w:tcPr>
          <w:p w14:paraId="16A6B9FB" w14:textId="431A4F8B" w:rsidR="007C308D" w:rsidRPr="007C308D" w:rsidRDefault="00F434B7" w:rsidP="007C308D">
            <w:pPr>
              <w:spacing w:after="200" w:line="276" w:lineRule="auto"/>
              <w:rPr>
                <w:sz w:val="22"/>
                <w:lang w:val="en-GB"/>
              </w:rPr>
            </w:pPr>
            <w:r>
              <w:rPr>
                <w:sz w:val="22"/>
                <w:lang w:val="en-GB"/>
              </w:rPr>
              <w:t>Until end of June</w:t>
            </w:r>
          </w:p>
        </w:tc>
        <w:tc>
          <w:tcPr>
            <w:tcW w:w="7236" w:type="dxa"/>
          </w:tcPr>
          <w:p w14:paraId="22EE3422" w14:textId="78C55B83" w:rsidR="00F434B7" w:rsidRDefault="007C308D" w:rsidP="00AE5F3F">
            <w:pPr>
              <w:spacing w:line="276" w:lineRule="auto"/>
              <w:rPr>
                <w:sz w:val="22"/>
                <w:lang w:val="en-GB"/>
              </w:rPr>
            </w:pPr>
            <w:r w:rsidRPr="007C308D">
              <w:rPr>
                <w:sz w:val="22"/>
                <w:lang w:val="en-GB"/>
              </w:rPr>
              <w:t xml:space="preserve">Consultation and </w:t>
            </w:r>
            <w:r w:rsidR="00A044B8">
              <w:rPr>
                <w:sz w:val="22"/>
                <w:lang w:val="en-GB"/>
              </w:rPr>
              <w:t>input from Steering Committee</w:t>
            </w:r>
            <w:r w:rsidR="00F434B7">
              <w:rPr>
                <w:sz w:val="22"/>
                <w:lang w:val="en-GB"/>
              </w:rPr>
              <w:t xml:space="preserve"> (SC Meeting 9-11 June)</w:t>
            </w:r>
            <w:r w:rsidR="00A044B8" w:rsidRPr="00A044B8">
              <w:rPr>
                <w:sz w:val="22"/>
                <w:lang w:val="en-GB"/>
              </w:rPr>
              <w:t xml:space="preserve"> (feedback provided to Task Force and Consultants)</w:t>
            </w:r>
            <w:r w:rsidR="00F434B7" w:rsidRPr="007C308D">
              <w:rPr>
                <w:sz w:val="22"/>
                <w:lang w:val="en-GB"/>
              </w:rPr>
              <w:t xml:space="preserve"> </w:t>
            </w:r>
          </w:p>
          <w:p w14:paraId="3E7C2069" w14:textId="77777777" w:rsidR="007C308D" w:rsidRDefault="00F434B7" w:rsidP="00AE5F3F">
            <w:pPr>
              <w:spacing w:line="276" w:lineRule="auto"/>
              <w:rPr>
                <w:sz w:val="22"/>
                <w:lang w:val="en-GB"/>
              </w:rPr>
            </w:pPr>
            <w:r w:rsidRPr="007C308D">
              <w:rPr>
                <w:sz w:val="22"/>
                <w:lang w:val="en-GB"/>
              </w:rPr>
              <w:t>Procurement of External Consultant</w:t>
            </w:r>
            <w:r>
              <w:rPr>
                <w:sz w:val="22"/>
                <w:lang w:val="en-GB"/>
              </w:rPr>
              <w:t xml:space="preserve"> (carried out by GWPO Secretariat)</w:t>
            </w:r>
          </w:p>
          <w:p w14:paraId="5BC0AAF1" w14:textId="30D5E30E" w:rsidR="00342156" w:rsidRPr="007C308D" w:rsidRDefault="00342156" w:rsidP="00AE5F3F">
            <w:pPr>
              <w:spacing w:line="276" w:lineRule="auto"/>
              <w:rPr>
                <w:sz w:val="22"/>
                <w:lang w:val="en-GB"/>
              </w:rPr>
            </w:pPr>
            <w:r>
              <w:rPr>
                <w:sz w:val="22"/>
                <w:lang w:val="en-GB"/>
              </w:rPr>
              <w:t>Procurement of consultant to carry out financial models information gathering.</w:t>
            </w:r>
          </w:p>
        </w:tc>
      </w:tr>
      <w:tr w:rsidR="00206F0C" w:rsidRPr="007C308D" w14:paraId="70CFF308" w14:textId="77777777" w:rsidTr="00206F0C">
        <w:tc>
          <w:tcPr>
            <w:tcW w:w="1825" w:type="dxa"/>
          </w:tcPr>
          <w:p w14:paraId="62A6D156" w14:textId="77777777" w:rsidR="007C308D" w:rsidRPr="007C308D" w:rsidRDefault="007C308D" w:rsidP="007C308D">
            <w:pPr>
              <w:spacing w:after="200" w:line="276" w:lineRule="auto"/>
              <w:rPr>
                <w:sz w:val="22"/>
                <w:lang w:val="en-GB"/>
              </w:rPr>
            </w:pPr>
            <w:r w:rsidRPr="007C308D">
              <w:rPr>
                <w:sz w:val="22"/>
                <w:lang w:val="en-GB"/>
              </w:rPr>
              <w:t>23 – 28 June</w:t>
            </w:r>
          </w:p>
        </w:tc>
        <w:tc>
          <w:tcPr>
            <w:tcW w:w="7236" w:type="dxa"/>
          </w:tcPr>
          <w:p w14:paraId="34B9C668" w14:textId="58381F18" w:rsidR="007C308D" w:rsidRPr="007C308D" w:rsidRDefault="007C308D" w:rsidP="00AE5F3F">
            <w:pPr>
              <w:spacing w:line="276" w:lineRule="auto"/>
              <w:rPr>
                <w:sz w:val="22"/>
                <w:lang w:val="en-GB"/>
              </w:rPr>
            </w:pPr>
            <w:r w:rsidRPr="007C308D">
              <w:rPr>
                <w:sz w:val="22"/>
                <w:lang w:val="en-GB"/>
              </w:rPr>
              <w:t xml:space="preserve">Presentation of </w:t>
            </w:r>
            <w:r w:rsidR="00A044B8">
              <w:rPr>
                <w:sz w:val="22"/>
                <w:lang w:val="en-GB"/>
              </w:rPr>
              <w:t xml:space="preserve">governance review </w:t>
            </w:r>
            <w:r w:rsidRPr="007C308D">
              <w:rPr>
                <w:sz w:val="22"/>
                <w:lang w:val="en-GB"/>
              </w:rPr>
              <w:t xml:space="preserve">to RWPs and GWP Partners. </w:t>
            </w:r>
          </w:p>
          <w:p w14:paraId="55FD486A" w14:textId="3F2F7C3B" w:rsidR="00794C7E" w:rsidRPr="007C308D" w:rsidRDefault="007C308D" w:rsidP="00342156">
            <w:pPr>
              <w:spacing w:line="276" w:lineRule="auto"/>
              <w:rPr>
                <w:sz w:val="22"/>
                <w:lang w:val="en-GB"/>
              </w:rPr>
            </w:pPr>
            <w:r w:rsidRPr="007C308D">
              <w:rPr>
                <w:sz w:val="22"/>
                <w:lang w:val="en-GB"/>
              </w:rPr>
              <w:t xml:space="preserve">Consultation </w:t>
            </w:r>
            <w:r w:rsidR="00A044B8">
              <w:rPr>
                <w:sz w:val="22"/>
                <w:lang w:val="en-GB"/>
              </w:rPr>
              <w:t>meetings with RWPs and Partners</w:t>
            </w:r>
            <w:r w:rsidR="00A044B8" w:rsidRPr="00A044B8">
              <w:rPr>
                <w:sz w:val="22"/>
                <w:lang w:val="en-GB"/>
              </w:rPr>
              <w:t xml:space="preserve"> (feedback provided to  Consultants)</w:t>
            </w:r>
          </w:p>
        </w:tc>
      </w:tr>
      <w:tr w:rsidR="00206F0C" w:rsidRPr="007C308D" w14:paraId="5C7060E5" w14:textId="77777777" w:rsidTr="00E96950">
        <w:tc>
          <w:tcPr>
            <w:tcW w:w="0" w:type="auto"/>
          </w:tcPr>
          <w:p w14:paraId="74AB62A7" w14:textId="77777777" w:rsidR="007C308D" w:rsidRPr="007C308D" w:rsidRDefault="007C308D" w:rsidP="007C308D">
            <w:pPr>
              <w:spacing w:after="200" w:line="276" w:lineRule="auto"/>
              <w:rPr>
                <w:sz w:val="22"/>
                <w:lang w:val="en-GB"/>
              </w:rPr>
            </w:pPr>
            <w:r w:rsidRPr="007C308D">
              <w:rPr>
                <w:sz w:val="22"/>
                <w:lang w:val="en-GB"/>
              </w:rPr>
              <w:t>July – August</w:t>
            </w:r>
          </w:p>
        </w:tc>
        <w:tc>
          <w:tcPr>
            <w:tcW w:w="0" w:type="auto"/>
          </w:tcPr>
          <w:p w14:paraId="4D32D388" w14:textId="77777777" w:rsidR="00794C7E" w:rsidRDefault="00794C7E" w:rsidP="00AE5F3F">
            <w:pPr>
              <w:spacing w:line="276" w:lineRule="auto"/>
              <w:rPr>
                <w:sz w:val="22"/>
                <w:lang w:val="en-GB"/>
              </w:rPr>
            </w:pPr>
            <w:r>
              <w:rPr>
                <w:sz w:val="22"/>
                <w:lang w:val="en-GB"/>
              </w:rPr>
              <w:t xml:space="preserve">Contracting </w:t>
            </w:r>
            <w:r w:rsidR="007C308D" w:rsidRPr="007C308D">
              <w:rPr>
                <w:sz w:val="22"/>
                <w:lang w:val="en-GB"/>
              </w:rPr>
              <w:t xml:space="preserve">Consultant </w:t>
            </w:r>
          </w:p>
          <w:p w14:paraId="3898C933" w14:textId="53A11208" w:rsidR="00206F0C" w:rsidRDefault="00794C7E" w:rsidP="00AE5F3F">
            <w:pPr>
              <w:spacing w:line="276" w:lineRule="auto"/>
              <w:rPr>
                <w:sz w:val="22"/>
                <w:lang w:val="en-GB"/>
              </w:rPr>
            </w:pPr>
            <w:r>
              <w:rPr>
                <w:sz w:val="22"/>
                <w:lang w:val="en-GB"/>
              </w:rPr>
              <w:t>I</w:t>
            </w:r>
            <w:r w:rsidR="007C308D" w:rsidRPr="007C308D">
              <w:rPr>
                <w:sz w:val="22"/>
                <w:lang w:val="en-GB"/>
              </w:rPr>
              <w:t>nception report</w:t>
            </w:r>
            <w:r>
              <w:rPr>
                <w:sz w:val="22"/>
                <w:lang w:val="en-GB"/>
              </w:rPr>
              <w:t xml:space="preserve"> (mid-August)</w:t>
            </w:r>
            <w:r w:rsidR="00A044B8">
              <w:rPr>
                <w:sz w:val="22"/>
                <w:lang w:val="en-GB"/>
              </w:rPr>
              <w:t>.</w:t>
            </w:r>
          </w:p>
          <w:p w14:paraId="6DF49E78" w14:textId="2E878B3D" w:rsidR="007C308D" w:rsidRPr="007C308D" w:rsidRDefault="00206F0C" w:rsidP="00AE5F3F">
            <w:pPr>
              <w:spacing w:line="276" w:lineRule="auto"/>
              <w:rPr>
                <w:sz w:val="22"/>
                <w:lang w:val="en-GB"/>
              </w:rPr>
            </w:pPr>
            <w:r>
              <w:rPr>
                <w:sz w:val="22"/>
                <w:lang w:val="en-GB"/>
              </w:rPr>
              <w:t>Review and feedback from Task Force</w:t>
            </w:r>
          </w:p>
        </w:tc>
      </w:tr>
      <w:tr w:rsidR="00206F0C" w:rsidRPr="007C308D" w14:paraId="629D2C0A" w14:textId="77777777" w:rsidTr="00E96950">
        <w:tc>
          <w:tcPr>
            <w:tcW w:w="0" w:type="auto"/>
          </w:tcPr>
          <w:p w14:paraId="5E422268" w14:textId="77777777" w:rsidR="007C308D" w:rsidRPr="007C308D" w:rsidRDefault="007C308D" w:rsidP="004D10A1">
            <w:pPr>
              <w:spacing w:line="276" w:lineRule="auto"/>
              <w:rPr>
                <w:sz w:val="22"/>
                <w:lang w:val="en-GB"/>
              </w:rPr>
            </w:pPr>
            <w:r w:rsidRPr="007C308D">
              <w:rPr>
                <w:sz w:val="22"/>
                <w:lang w:val="en-GB"/>
              </w:rPr>
              <w:t>3 September</w:t>
            </w:r>
          </w:p>
        </w:tc>
        <w:tc>
          <w:tcPr>
            <w:tcW w:w="0" w:type="auto"/>
          </w:tcPr>
          <w:p w14:paraId="1F24037C" w14:textId="58CDFB34" w:rsidR="007C308D" w:rsidRDefault="007C308D" w:rsidP="004D10A1">
            <w:pPr>
              <w:spacing w:line="276" w:lineRule="auto"/>
              <w:rPr>
                <w:sz w:val="22"/>
                <w:lang w:val="en-GB"/>
              </w:rPr>
            </w:pPr>
            <w:r w:rsidRPr="007C308D">
              <w:rPr>
                <w:sz w:val="22"/>
                <w:lang w:val="en-GB"/>
              </w:rPr>
              <w:t>Consultation with Sponsoring Partners</w:t>
            </w:r>
            <w:r w:rsidR="00A044B8">
              <w:rPr>
                <w:sz w:val="22"/>
                <w:lang w:val="en-GB"/>
              </w:rPr>
              <w:t xml:space="preserve"> </w:t>
            </w:r>
            <w:r w:rsidR="00A044B8" w:rsidRPr="00A044B8">
              <w:rPr>
                <w:sz w:val="22"/>
                <w:lang w:val="en-GB"/>
              </w:rPr>
              <w:t>(feedback provided to Consultant)</w:t>
            </w:r>
          </w:p>
          <w:p w14:paraId="2A2EDB3B" w14:textId="3310D21F" w:rsidR="00342156" w:rsidRPr="007C308D" w:rsidRDefault="00342156" w:rsidP="004D10A1">
            <w:pPr>
              <w:spacing w:line="276" w:lineRule="auto"/>
              <w:rPr>
                <w:sz w:val="22"/>
                <w:lang w:val="en-GB"/>
              </w:rPr>
            </w:pPr>
            <w:r>
              <w:rPr>
                <w:sz w:val="22"/>
                <w:lang w:val="en-GB"/>
              </w:rPr>
              <w:t>Consultation with GWPO Secretariat (feedback provided to Consultant</w:t>
            </w:r>
          </w:p>
        </w:tc>
      </w:tr>
      <w:tr w:rsidR="00206F0C" w:rsidRPr="007C308D" w14:paraId="478C36E4" w14:textId="77777777" w:rsidTr="00E96950">
        <w:tc>
          <w:tcPr>
            <w:tcW w:w="0" w:type="auto"/>
          </w:tcPr>
          <w:p w14:paraId="291D3919" w14:textId="60C25D4C" w:rsidR="00206F0C" w:rsidRPr="007C308D" w:rsidRDefault="00206F0C" w:rsidP="00206F0C">
            <w:pPr>
              <w:rPr>
                <w:sz w:val="22"/>
                <w:lang w:val="en-GB"/>
              </w:rPr>
            </w:pPr>
            <w:r>
              <w:rPr>
                <w:sz w:val="22"/>
                <w:lang w:val="en-GB"/>
              </w:rPr>
              <w:t>Until end of September</w:t>
            </w:r>
          </w:p>
        </w:tc>
        <w:tc>
          <w:tcPr>
            <w:tcW w:w="0" w:type="auto"/>
          </w:tcPr>
          <w:p w14:paraId="465C1166" w14:textId="4C1F1C60" w:rsidR="00206F0C" w:rsidRDefault="00206F0C" w:rsidP="007C308D">
            <w:pPr>
              <w:rPr>
                <w:sz w:val="22"/>
                <w:lang w:val="en-GB"/>
              </w:rPr>
            </w:pPr>
            <w:r>
              <w:rPr>
                <w:sz w:val="22"/>
                <w:lang w:val="en-GB"/>
              </w:rPr>
              <w:t>Interviews carried out by Consultant</w:t>
            </w:r>
          </w:p>
          <w:p w14:paraId="61244587" w14:textId="0602249C" w:rsidR="00206F0C" w:rsidRPr="007C308D" w:rsidRDefault="00206F0C" w:rsidP="007C308D">
            <w:pPr>
              <w:rPr>
                <w:sz w:val="22"/>
                <w:lang w:val="en-GB"/>
              </w:rPr>
            </w:pPr>
            <w:r>
              <w:rPr>
                <w:sz w:val="22"/>
                <w:lang w:val="en-GB"/>
              </w:rPr>
              <w:t>First draft report from Consultant to Task Force</w:t>
            </w:r>
          </w:p>
        </w:tc>
      </w:tr>
      <w:tr w:rsidR="00206F0C" w:rsidRPr="007C308D" w14:paraId="004F0EF9" w14:textId="77777777" w:rsidTr="00E96950">
        <w:tc>
          <w:tcPr>
            <w:tcW w:w="0" w:type="auto"/>
          </w:tcPr>
          <w:p w14:paraId="3EC536B2" w14:textId="684D2519" w:rsidR="00206F0C" w:rsidRPr="007C308D" w:rsidRDefault="00206F0C" w:rsidP="007C308D">
            <w:pPr>
              <w:rPr>
                <w:sz w:val="22"/>
                <w:lang w:val="en-GB"/>
              </w:rPr>
            </w:pPr>
            <w:r>
              <w:rPr>
                <w:sz w:val="22"/>
                <w:lang w:val="en-GB"/>
              </w:rPr>
              <w:t>Until end of October</w:t>
            </w:r>
          </w:p>
        </w:tc>
        <w:tc>
          <w:tcPr>
            <w:tcW w:w="0" w:type="auto"/>
          </w:tcPr>
          <w:p w14:paraId="2ED018AA" w14:textId="72951874" w:rsidR="00206F0C" w:rsidRPr="007C308D" w:rsidRDefault="00206F0C" w:rsidP="007C308D">
            <w:pPr>
              <w:rPr>
                <w:sz w:val="22"/>
                <w:lang w:val="en-GB"/>
              </w:rPr>
            </w:pPr>
            <w:r>
              <w:rPr>
                <w:sz w:val="22"/>
                <w:lang w:val="en-GB"/>
              </w:rPr>
              <w:t>Final report from Consultant to Task Force</w:t>
            </w:r>
          </w:p>
        </w:tc>
      </w:tr>
      <w:tr w:rsidR="00206F0C" w:rsidRPr="007C308D" w14:paraId="64AB9638" w14:textId="77777777" w:rsidTr="00E96950">
        <w:tc>
          <w:tcPr>
            <w:tcW w:w="0" w:type="auto"/>
          </w:tcPr>
          <w:p w14:paraId="42AF7205" w14:textId="66296D9B" w:rsidR="007C308D" w:rsidRPr="007C308D" w:rsidRDefault="00206F0C" w:rsidP="007C308D">
            <w:pPr>
              <w:spacing w:after="200" w:line="276" w:lineRule="auto"/>
              <w:rPr>
                <w:sz w:val="22"/>
                <w:lang w:val="en-GB"/>
              </w:rPr>
            </w:pPr>
            <w:r>
              <w:rPr>
                <w:sz w:val="22"/>
                <w:lang w:val="en-GB"/>
              </w:rPr>
              <w:t xml:space="preserve">End of </w:t>
            </w:r>
            <w:r w:rsidR="007C308D" w:rsidRPr="007C308D">
              <w:rPr>
                <w:sz w:val="22"/>
                <w:lang w:val="en-GB"/>
              </w:rPr>
              <w:t>November</w:t>
            </w:r>
          </w:p>
        </w:tc>
        <w:tc>
          <w:tcPr>
            <w:tcW w:w="0" w:type="auto"/>
          </w:tcPr>
          <w:p w14:paraId="5FB6035B" w14:textId="04FE439D" w:rsidR="007C308D" w:rsidRPr="007C308D" w:rsidRDefault="007C308D" w:rsidP="00206F0C">
            <w:pPr>
              <w:spacing w:after="200" w:line="276" w:lineRule="auto"/>
              <w:rPr>
                <w:sz w:val="22"/>
                <w:lang w:val="en-GB"/>
              </w:rPr>
            </w:pPr>
            <w:r w:rsidRPr="007C308D">
              <w:rPr>
                <w:sz w:val="22"/>
                <w:lang w:val="en-GB"/>
              </w:rPr>
              <w:t>Presentation of consultant's report</w:t>
            </w:r>
            <w:r w:rsidR="00206F0C">
              <w:rPr>
                <w:sz w:val="22"/>
                <w:lang w:val="en-GB"/>
              </w:rPr>
              <w:t xml:space="preserve"> and Task Force recommendations</w:t>
            </w:r>
            <w:r w:rsidRPr="007C308D">
              <w:rPr>
                <w:sz w:val="22"/>
                <w:lang w:val="en-GB"/>
              </w:rPr>
              <w:t xml:space="preserve"> and to Steering Committee</w:t>
            </w:r>
            <w:r w:rsidR="00A044B8">
              <w:rPr>
                <w:sz w:val="22"/>
                <w:lang w:val="en-GB"/>
              </w:rPr>
              <w:t xml:space="preserve"> meeting in November 2014.</w:t>
            </w:r>
          </w:p>
        </w:tc>
      </w:tr>
    </w:tbl>
    <w:p w14:paraId="2C147F30" w14:textId="77777777" w:rsidR="008D0D37" w:rsidRPr="007C308D" w:rsidRDefault="008D0D37" w:rsidP="005D0F68">
      <w:pPr>
        <w:rPr>
          <w:sz w:val="22"/>
        </w:rPr>
      </w:pPr>
    </w:p>
    <w:p w14:paraId="6CBDBEC2" w14:textId="77777777" w:rsidR="009B384C" w:rsidRPr="00AE7E99" w:rsidRDefault="009B384C" w:rsidP="009B384C">
      <w:pPr>
        <w:pStyle w:val="NoSpacing"/>
        <w:rPr>
          <w:sz w:val="22"/>
          <w:lang w:val="en-GB"/>
        </w:rPr>
      </w:pPr>
    </w:p>
    <w:p w14:paraId="36403AEF" w14:textId="77777777" w:rsidR="00C82F60" w:rsidRDefault="00C82F60">
      <w:pPr>
        <w:rPr>
          <w:rFonts w:ascii="Calibri" w:hAnsi="Calibri"/>
          <w:sz w:val="22"/>
          <w:lang w:val="en-GB"/>
        </w:rPr>
      </w:pPr>
      <w:r>
        <w:rPr>
          <w:rFonts w:ascii="Calibri" w:hAnsi="Calibri"/>
          <w:sz w:val="22"/>
          <w:lang w:val="en-GB"/>
        </w:rPr>
        <w:br w:type="page"/>
      </w:r>
    </w:p>
    <w:p w14:paraId="100ED432" w14:textId="77777777" w:rsidR="00C82F60" w:rsidRDefault="00C82F60" w:rsidP="00C82F60">
      <w:pPr>
        <w:pStyle w:val="Heading2"/>
        <w:jc w:val="center"/>
      </w:pPr>
      <w:r>
        <w:lastRenderedPageBreak/>
        <w:t>Appendix A</w:t>
      </w:r>
    </w:p>
    <w:p w14:paraId="123A5082" w14:textId="77777777" w:rsidR="00C82F60" w:rsidRDefault="00C82F60" w:rsidP="00C82F60">
      <w:pPr>
        <w:pStyle w:val="Heading2"/>
        <w:jc w:val="center"/>
      </w:pPr>
      <w:r>
        <w:t>Interviewees and Questions</w:t>
      </w:r>
    </w:p>
    <w:p w14:paraId="464C0A98" w14:textId="3A99D615" w:rsidR="00E7564E" w:rsidRDefault="00C82F60" w:rsidP="00C82F60">
      <w:r>
        <w:t>To be established</w:t>
      </w:r>
      <w:r w:rsidR="00E7564E">
        <w:br w:type="page"/>
      </w:r>
    </w:p>
    <w:p w14:paraId="45722018" w14:textId="3C0191F5" w:rsidR="00662105" w:rsidRDefault="005E5B58" w:rsidP="00E7564E">
      <w:pPr>
        <w:pStyle w:val="Heading2"/>
        <w:jc w:val="center"/>
      </w:pPr>
      <w:r>
        <w:lastRenderedPageBreak/>
        <w:t>APPENDIX B</w:t>
      </w:r>
    </w:p>
    <w:p w14:paraId="5D554D9C" w14:textId="06A1B56A" w:rsidR="004F1F8A" w:rsidRPr="00AE7E99" w:rsidRDefault="004F1F8A" w:rsidP="00E7564E">
      <w:pPr>
        <w:pStyle w:val="Heading2"/>
        <w:jc w:val="center"/>
      </w:pPr>
      <w:r>
        <w:t>Proposed organisations for comparison</w:t>
      </w:r>
    </w:p>
    <w:p w14:paraId="6E3F3545" w14:textId="77777777" w:rsidR="00662105" w:rsidRPr="00AE7E99" w:rsidRDefault="00662105" w:rsidP="003E546A">
      <w:pPr>
        <w:pStyle w:val="NoSpacing"/>
        <w:rPr>
          <w:sz w:val="22"/>
          <w:lang w:val="en-GB"/>
        </w:rPr>
      </w:pPr>
    </w:p>
    <w:p w14:paraId="09EB7FEC" w14:textId="16EFA35F" w:rsidR="006E79E5" w:rsidRDefault="00E7564E" w:rsidP="006E79E5">
      <w:pPr>
        <w:pStyle w:val="NoSpacing"/>
        <w:rPr>
          <w:rFonts w:ascii="Calibri" w:hAnsi="Calibri"/>
          <w:sz w:val="22"/>
          <w:lang w:val="en-GB"/>
        </w:rPr>
      </w:pPr>
      <w:r>
        <w:rPr>
          <w:rFonts w:ascii="Calibri" w:hAnsi="Calibri"/>
          <w:sz w:val="22"/>
          <w:lang w:val="en-GB"/>
        </w:rPr>
        <w:t>Organisations for comparison:</w:t>
      </w:r>
    </w:p>
    <w:p w14:paraId="7C2CE154" w14:textId="712AE975" w:rsidR="00E7564E" w:rsidRPr="00E7564E" w:rsidRDefault="00342156" w:rsidP="00E7564E">
      <w:pPr>
        <w:pStyle w:val="NoSpacing"/>
        <w:rPr>
          <w:rFonts w:ascii="Calibri" w:hAnsi="Calibri"/>
          <w:sz w:val="22"/>
        </w:rPr>
      </w:pPr>
      <w:r>
        <w:rPr>
          <w:rFonts w:ascii="Calibri" w:hAnsi="Calibri"/>
          <w:sz w:val="22"/>
        </w:rPr>
        <w:t xml:space="preserve">World Water </w:t>
      </w:r>
      <w:r w:rsidR="00E7564E" w:rsidRPr="00E7564E">
        <w:rPr>
          <w:rFonts w:ascii="Calibri" w:hAnsi="Calibri"/>
          <w:sz w:val="22"/>
        </w:rPr>
        <w:t>C</w:t>
      </w:r>
      <w:r>
        <w:rPr>
          <w:rFonts w:ascii="Calibri" w:hAnsi="Calibri"/>
          <w:sz w:val="22"/>
        </w:rPr>
        <w:t>ouncil</w:t>
      </w:r>
      <w:r w:rsidR="00E7564E" w:rsidRPr="00E7564E">
        <w:rPr>
          <w:rFonts w:ascii="Calibri" w:hAnsi="Calibri"/>
          <w:sz w:val="22"/>
        </w:rPr>
        <w:t>/W</w:t>
      </w:r>
      <w:r>
        <w:rPr>
          <w:rFonts w:ascii="Calibri" w:hAnsi="Calibri"/>
          <w:sz w:val="22"/>
        </w:rPr>
        <w:t xml:space="preserve">orld </w:t>
      </w:r>
      <w:r w:rsidR="00E7564E" w:rsidRPr="00E7564E">
        <w:rPr>
          <w:rFonts w:ascii="Calibri" w:hAnsi="Calibri"/>
          <w:sz w:val="22"/>
        </w:rPr>
        <w:t>W</w:t>
      </w:r>
      <w:r>
        <w:rPr>
          <w:rFonts w:ascii="Calibri" w:hAnsi="Calibri"/>
          <w:sz w:val="22"/>
        </w:rPr>
        <w:t xml:space="preserve">ater </w:t>
      </w:r>
      <w:r w:rsidR="00E7564E" w:rsidRPr="00E7564E">
        <w:rPr>
          <w:rFonts w:ascii="Calibri" w:hAnsi="Calibri"/>
          <w:sz w:val="22"/>
        </w:rPr>
        <w:t>F</w:t>
      </w:r>
      <w:r>
        <w:rPr>
          <w:rFonts w:ascii="Calibri" w:hAnsi="Calibri"/>
          <w:sz w:val="22"/>
        </w:rPr>
        <w:t>orum</w:t>
      </w:r>
    </w:p>
    <w:p w14:paraId="60CD4495" w14:textId="77777777" w:rsidR="00E7564E" w:rsidRPr="00E7564E" w:rsidRDefault="00E7564E" w:rsidP="00E7564E">
      <w:pPr>
        <w:pStyle w:val="NoSpacing"/>
        <w:rPr>
          <w:rFonts w:ascii="Calibri" w:hAnsi="Calibri"/>
          <w:sz w:val="22"/>
        </w:rPr>
      </w:pPr>
      <w:r w:rsidRPr="00E7564E">
        <w:rPr>
          <w:rFonts w:ascii="Calibri" w:hAnsi="Calibri"/>
          <w:sz w:val="22"/>
        </w:rPr>
        <w:t>IUCN</w:t>
      </w:r>
    </w:p>
    <w:p w14:paraId="3DCCE5B7" w14:textId="77777777" w:rsidR="00E7564E" w:rsidRPr="00E7564E" w:rsidRDefault="00E7564E" w:rsidP="00E7564E">
      <w:pPr>
        <w:pStyle w:val="NoSpacing"/>
        <w:rPr>
          <w:rFonts w:ascii="Calibri" w:hAnsi="Calibri"/>
          <w:sz w:val="22"/>
        </w:rPr>
      </w:pPr>
      <w:r w:rsidRPr="00E7564E">
        <w:rPr>
          <w:rFonts w:ascii="Calibri" w:hAnsi="Calibri"/>
          <w:sz w:val="22"/>
        </w:rPr>
        <w:t>IWA Bangkok</w:t>
      </w:r>
    </w:p>
    <w:p w14:paraId="7895724C" w14:textId="77777777" w:rsidR="00E7564E" w:rsidRPr="00E7564E" w:rsidRDefault="00E7564E" w:rsidP="00E7564E">
      <w:pPr>
        <w:pStyle w:val="NoSpacing"/>
        <w:rPr>
          <w:rFonts w:ascii="Calibri" w:hAnsi="Calibri"/>
          <w:sz w:val="22"/>
        </w:rPr>
      </w:pPr>
      <w:r w:rsidRPr="00E7564E">
        <w:rPr>
          <w:rFonts w:ascii="Calibri" w:hAnsi="Calibri"/>
          <w:sz w:val="22"/>
        </w:rPr>
        <w:t>IWMI (being a CGIAR member)</w:t>
      </w:r>
    </w:p>
    <w:p w14:paraId="184EBF21" w14:textId="77777777" w:rsidR="00E7564E" w:rsidRPr="00E7564E" w:rsidRDefault="00E7564E" w:rsidP="00E7564E">
      <w:pPr>
        <w:pStyle w:val="NoSpacing"/>
        <w:rPr>
          <w:rFonts w:ascii="Calibri" w:hAnsi="Calibri"/>
          <w:sz w:val="22"/>
        </w:rPr>
      </w:pPr>
      <w:r w:rsidRPr="00E7564E">
        <w:rPr>
          <w:rFonts w:ascii="Calibri" w:hAnsi="Calibri"/>
          <w:sz w:val="22"/>
        </w:rPr>
        <w:t>SIWI</w:t>
      </w:r>
    </w:p>
    <w:p w14:paraId="20070FA9" w14:textId="77777777" w:rsidR="00E7564E" w:rsidRDefault="00E7564E" w:rsidP="00E7564E">
      <w:pPr>
        <w:pStyle w:val="NoSpacing"/>
        <w:rPr>
          <w:rFonts w:ascii="Calibri" w:hAnsi="Calibri"/>
          <w:sz w:val="22"/>
        </w:rPr>
      </w:pPr>
      <w:r w:rsidRPr="00E7564E">
        <w:rPr>
          <w:rFonts w:ascii="Calibri" w:hAnsi="Calibri"/>
          <w:sz w:val="22"/>
        </w:rPr>
        <w:t>IFPRI Washington, DC</w:t>
      </w:r>
    </w:p>
    <w:p w14:paraId="682C8D9D" w14:textId="1041A4AB" w:rsidR="00E7564E" w:rsidRPr="00E7564E" w:rsidRDefault="00E7564E" w:rsidP="00E7564E">
      <w:pPr>
        <w:pStyle w:val="NoSpacing"/>
        <w:rPr>
          <w:rFonts w:ascii="Calibri" w:hAnsi="Calibri"/>
          <w:sz w:val="22"/>
        </w:rPr>
      </w:pPr>
      <w:r>
        <w:rPr>
          <w:rFonts w:ascii="Calibri" w:hAnsi="Calibri"/>
          <w:sz w:val="22"/>
        </w:rPr>
        <w:t>IDEA</w:t>
      </w:r>
    </w:p>
    <w:p w14:paraId="3F78C378" w14:textId="5EC5ADF6" w:rsidR="00E7564E" w:rsidRDefault="00E7564E" w:rsidP="00E7564E">
      <w:pPr>
        <w:pStyle w:val="NoSpacing"/>
        <w:rPr>
          <w:rFonts w:ascii="Calibri" w:hAnsi="Calibri"/>
          <w:sz w:val="22"/>
        </w:rPr>
      </w:pPr>
      <w:r>
        <w:rPr>
          <w:rFonts w:ascii="Calibri" w:hAnsi="Calibri"/>
          <w:sz w:val="22"/>
        </w:rPr>
        <w:t>Council of Baltic Sea States</w:t>
      </w:r>
    </w:p>
    <w:p w14:paraId="334D00DF" w14:textId="7048096F" w:rsidR="00794C7E" w:rsidRDefault="00794C7E" w:rsidP="00E7564E">
      <w:pPr>
        <w:pStyle w:val="NoSpacing"/>
        <w:rPr>
          <w:rFonts w:ascii="Calibri" w:hAnsi="Calibri"/>
          <w:sz w:val="22"/>
          <w:lang w:val="en-GB"/>
        </w:rPr>
      </w:pPr>
      <w:r>
        <w:rPr>
          <w:rFonts w:ascii="Calibri" w:hAnsi="Calibri"/>
          <w:sz w:val="22"/>
          <w:lang w:val="en-GB"/>
        </w:rPr>
        <w:t>CGIAR</w:t>
      </w:r>
      <w:bookmarkStart w:id="0" w:name="_GoBack"/>
      <w:bookmarkEnd w:id="0"/>
    </w:p>
    <w:sectPr w:rsidR="00794C7E" w:rsidSect="006E79E5">
      <w:headerReference w:type="default" r:id="rId12"/>
      <w:footerReference w:type="default" r:id="rId13"/>
      <w:headerReference w:type="first" r:id="rId14"/>
      <w:footerReference w:type="first" r:id="rId15"/>
      <w:pgSz w:w="11907" w:h="16839"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9FF95" w14:textId="77777777" w:rsidR="00512DAF" w:rsidRDefault="00512DAF" w:rsidP="0092526E">
      <w:pPr>
        <w:spacing w:after="0" w:line="240" w:lineRule="auto"/>
      </w:pPr>
      <w:r>
        <w:separator/>
      </w:r>
    </w:p>
  </w:endnote>
  <w:endnote w:type="continuationSeparator" w:id="0">
    <w:p w14:paraId="15CE127E" w14:textId="77777777" w:rsidR="00512DAF" w:rsidRDefault="00512DAF" w:rsidP="0092526E">
      <w:pPr>
        <w:spacing w:after="0" w:line="240" w:lineRule="auto"/>
      </w:pPr>
      <w:r>
        <w:continuationSeparator/>
      </w:r>
    </w:p>
  </w:endnote>
  <w:endnote w:type="continuationNotice" w:id="1">
    <w:p w14:paraId="5910C5E6" w14:textId="77777777" w:rsidR="00512DAF" w:rsidRDefault="00512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gfa Rotis Sans Serif">
    <w:altName w:val="Agfa Rotis Sans Serif"/>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9BC63" w14:textId="5B572E04" w:rsidR="5B572E04" w:rsidRDefault="5B572E04" w:rsidP="5B572E04">
    <w:pPr>
      <w:pStyle w:val="Footer"/>
      <w:jc w:val="center"/>
    </w:pPr>
    <w:r>
      <w:fldChar w:fldCharType="begin"/>
    </w:r>
    <w:r>
      <w:instrText>PAGE</w:instrText>
    </w:r>
    <w:r>
      <w:fldChar w:fldCharType="separate"/>
    </w:r>
    <w:r w:rsidR="00956545">
      <w:rPr>
        <w:noProof/>
      </w:rPr>
      <w:t>12</w:t>
    </w:r>
    <w:r>
      <w:fldChar w:fldCharType="end"/>
    </w:r>
  </w:p>
  <w:p w14:paraId="356C56B3" w14:textId="77777777" w:rsidR="00DF3074" w:rsidRDefault="00DF3074" w:rsidP="00D17032">
    <w:pPr>
      <w:pStyle w:val="Footer"/>
      <w:jc w:val="right"/>
    </w:pPr>
    <w:r>
      <w:rPr>
        <w:noProof/>
        <w:lang w:val="sv-SE" w:eastAsia="sv-SE"/>
      </w:rPr>
      <w:drawing>
        <wp:anchor distT="0" distB="0" distL="114300" distR="114300" simplePos="0" relativeHeight="251657216" behindDoc="0" locked="0" layoutInCell="1" allowOverlap="1" wp14:anchorId="1A133D34" wp14:editId="6F1FB560">
          <wp:simplePos x="0" y="0"/>
          <wp:positionH relativeFrom="column">
            <wp:posOffset>4812484</wp:posOffset>
          </wp:positionH>
          <wp:positionV relativeFrom="paragraph">
            <wp:posOffset>64044</wp:posOffset>
          </wp:positionV>
          <wp:extent cx="1069522" cy="119743"/>
          <wp:effectExtent l="19050" t="0" r="0" b="0"/>
          <wp:wrapNone/>
          <wp:docPr id="2" name="Picture 0" descr="gwp_ur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p_url2.jpg"/>
                  <pic:cNvPicPr/>
                </pic:nvPicPr>
                <pic:blipFill>
                  <a:blip r:embed="rId1" cstate="print"/>
                  <a:stretch>
                    <a:fillRect/>
                  </a:stretch>
                </pic:blipFill>
                <pic:spPr>
                  <a:xfrm>
                    <a:off x="0" y="0"/>
                    <a:ext cx="1069522" cy="119743"/>
                  </a:xfrm>
                  <a:prstGeom prst="rect">
                    <a:avLst/>
                  </a:prstGeom>
                </pic:spPr>
              </pic:pic>
            </a:graphicData>
          </a:graphic>
        </wp:anchor>
      </w:drawing>
    </w:r>
  </w:p>
  <w:p w14:paraId="1846DEE1" w14:textId="77777777" w:rsidR="00DF3074" w:rsidRDefault="00DF3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648394"/>
      <w:docPartObj>
        <w:docPartGallery w:val="Page Numbers (Bottom of Page)"/>
        <w:docPartUnique/>
      </w:docPartObj>
    </w:sdtPr>
    <w:sdtEndPr>
      <w:rPr>
        <w:noProof/>
      </w:rPr>
    </w:sdtEndPr>
    <w:sdtContent>
      <w:p w14:paraId="01CC77A7" w14:textId="37F55C0C" w:rsidR="00DF3074" w:rsidRDefault="00DF3074">
        <w:pPr>
          <w:pStyle w:val="Footer"/>
          <w:jc w:val="center"/>
        </w:pPr>
        <w:r>
          <w:fldChar w:fldCharType="begin"/>
        </w:r>
        <w:r>
          <w:instrText xml:space="preserve"> PAGE   \* MERGEFORMAT </w:instrText>
        </w:r>
        <w:r>
          <w:fldChar w:fldCharType="separate"/>
        </w:r>
        <w:r w:rsidR="00956545">
          <w:rPr>
            <w:noProof/>
          </w:rPr>
          <w:t>1</w:t>
        </w:r>
        <w:r>
          <w:rPr>
            <w:noProof/>
          </w:rPr>
          <w:fldChar w:fldCharType="end"/>
        </w:r>
      </w:p>
    </w:sdtContent>
  </w:sdt>
  <w:p w14:paraId="1ABF0564" w14:textId="77777777" w:rsidR="00DF3074" w:rsidRDefault="00DF3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DFF9" w14:textId="77777777" w:rsidR="00512DAF" w:rsidRDefault="00512DAF" w:rsidP="0092526E">
      <w:pPr>
        <w:spacing w:after="0" w:line="240" w:lineRule="auto"/>
      </w:pPr>
      <w:r>
        <w:separator/>
      </w:r>
    </w:p>
  </w:footnote>
  <w:footnote w:type="continuationSeparator" w:id="0">
    <w:p w14:paraId="57C7B9D9" w14:textId="77777777" w:rsidR="00512DAF" w:rsidRDefault="00512DAF" w:rsidP="0092526E">
      <w:pPr>
        <w:spacing w:after="0" w:line="240" w:lineRule="auto"/>
      </w:pPr>
      <w:r>
        <w:continuationSeparator/>
      </w:r>
    </w:p>
  </w:footnote>
  <w:footnote w:type="continuationNotice" w:id="1">
    <w:p w14:paraId="1D11FE20" w14:textId="77777777" w:rsidR="00512DAF" w:rsidRDefault="00512DAF">
      <w:pPr>
        <w:spacing w:after="0" w:line="240" w:lineRule="auto"/>
      </w:pPr>
    </w:p>
  </w:footnote>
  <w:footnote w:id="2">
    <w:p w14:paraId="419E4B5C" w14:textId="77777777" w:rsidR="00EB1A49" w:rsidRPr="00FA0A58" w:rsidRDefault="00EB1A49" w:rsidP="00EB1A49">
      <w:pPr>
        <w:pStyle w:val="FootnoteText"/>
      </w:pPr>
      <w:r>
        <w:rPr>
          <w:rStyle w:val="FootnoteReference"/>
        </w:rPr>
        <w:footnoteRef/>
      </w:r>
      <w:r>
        <w:t xml:space="preserve"> Global Water Partnership Joint Donor External Evaluation, 26 March 2008. </w:t>
      </w:r>
    </w:p>
  </w:footnote>
  <w:footnote w:id="3">
    <w:p w14:paraId="70BDD020" w14:textId="77777777" w:rsidR="00EB1A49" w:rsidRPr="008B2129" w:rsidRDefault="00EB1A49" w:rsidP="00EB1A49">
      <w:pPr>
        <w:pStyle w:val="FootnoteText"/>
      </w:pPr>
      <w:r>
        <w:rPr>
          <w:rStyle w:val="FootnoteReference"/>
        </w:rPr>
        <w:footnoteRef/>
      </w:r>
      <w:r>
        <w:t xml:space="preserve"> </w:t>
      </w:r>
      <w:r w:rsidRPr="008B2129">
        <w:t>Article 10(7) (a) states the Sponsoring Partners shall aim to assure the composition of the Steering Committee reflects a balance in terms of professional background, geographical representation, gender and level of development of the person’s home State</w:t>
      </w:r>
      <w:r>
        <w:t>.</w:t>
      </w:r>
    </w:p>
  </w:footnote>
  <w:footnote w:id="4">
    <w:p w14:paraId="209E96AC" w14:textId="32F42E9B" w:rsidR="00F434B7" w:rsidRPr="00F434B7" w:rsidRDefault="00F434B7">
      <w:pPr>
        <w:pStyle w:val="FootnoteText"/>
      </w:pPr>
      <w:r>
        <w:rPr>
          <w:rStyle w:val="FootnoteReference"/>
        </w:rPr>
        <w:footnoteRef/>
      </w:r>
      <w:r>
        <w:t xml:space="preserve"> </w:t>
      </w:r>
      <w:r w:rsidRPr="00F434B7">
        <w:t xml:space="preserve">A separate gathering of information about other international </w:t>
      </w:r>
      <w:proofErr w:type="spellStart"/>
      <w:r w:rsidRPr="00F434B7">
        <w:t>organisations’</w:t>
      </w:r>
      <w:proofErr w:type="spellEnd"/>
      <w:r w:rsidRPr="00F434B7">
        <w:t xml:space="preserve"> financing models will be undertaken by GWPO Secretariat and provided to the Consultant for analysis together with the governance review.</w:t>
      </w:r>
    </w:p>
  </w:footnote>
  <w:footnote w:id="5">
    <w:p w14:paraId="66FD438B" w14:textId="509E9CC5" w:rsidR="001D3384" w:rsidRPr="001D3384" w:rsidRDefault="001D3384">
      <w:pPr>
        <w:pStyle w:val="FootnoteText"/>
      </w:pPr>
      <w:r>
        <w:rPr>
          <w:rStyle w:val="FootnoteReference"/>
        </w:rPr>
        <w:footnoteRef/>
      </w:r>
      <w:r>
        <w:t xml:space="preserve"> </w:t>
      </w:r>
      <w:r w:rsidRPr="00AE5F3F">
        <w:t>Some of these consultations may be facilitated and carried out b</w:t>
      </w:r>
      <w:r>
        <w:t>y GWPO Secretariat before the external Consultant has been procured.</w:t>
      </w:r>
      <w:r w:rsidR="00A15CE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3176" w14:textId="6A449DC1" w:rsidR="00DF3074" w:rsidRDefault="00DF3074">
    <w:pPr>
      <w:pStyle w:val="Header"/>
    </w:pPr>
    <w:r w:rsidRPr="00F878A4">
      <w:rPr>
        <w:noProof/>
        <w:lang w:val="sv-SE" w:eastAsia="sv-SE"/>
      </w:rPr>
      <w:drawing>
        <wp:anchor distT="0" distB="0" distL="114300" distR="114300" simplePos="0" relativeHeight="251656192" behindDoc="1" locked="0" layoutInCell="1" allowOverlap="1" wp14:anchorId="0E9AD730" wp14:editId="653E175D">
          <wp:simplePos x="0" y="0"/>
          <wp:positionH relativeFrom="column">
            <wp:posOffset>4583249</wp:posOffset>
          </wp:positionH>
          <wp:positionV relativeFrom="paragraph">
            <wp:posOffset>-156300</wp:posOffset>
          </wp:positionV>
          <wp:extent cx="1298121" cy="337457"/>
          <wp:effectExtent l="19050" t="0" r="0" b="0"/>
          <wp:wrapNone/>
          <wp:docPr id="1" name="Picture 2" descr="GWP Globa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P Global rgb.jpg"/>
                  <pic:cNvPicPr/>
                </pic:nvPicPr>
                <pic:blipFill>
                  <a:blip r:embed="rId1" cstate="print"/>
                  <a:stretch>
                    <a:fillRect/>
                  </a:stretch>
                </pic:blipFill>
                <pic:spPr>
                  <a:xfrm>
                    <a:off x="0" y="0"/>
                    <a:ext cx="1298121" cy="33745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ACAC" w14:textId="68663156" w:rsidR="00DF3074" w:rsidRDefault="00956545">
    <w:pPr>
      <w:pStyle w:val="Header"/>
    </w:pPr>
    <w:sdt>
      <w:sdtPr>
        <w:id w:val="1727956910"/>
        <w:docPartObj>
          <w:docPartGallery w:val="Watermarks"/>
          <w:docPartUnique/>
        </w:docPartObj>
      </w:sdtPr>
      <w:sdtEndPr/>
      <w:sdtContent>
        <w:r>
          <w:rPr>
            <w:noProof/>
          </w:rPr>
          <w:pict w14:anchorId="6D57B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F3074" w:rsidRPr="00F878A4">
      <w:rPr>
        <w:noProof/>
        <w:lang w:val="sv-SE" w:eastAsia="sv-SE"/>
      </w:rPr>
      <w:drawing>
        <wp:anchor distT="0" distB="0" distL="114300" distR="114300" simplePos="0" relativeHeight="251658240" behindDoc="1" locked="0" layoutInCell="1" allowOverlap="1" wp14:anchorId="2E7E1AA3" wp14:editId="36D0B54F">
          <wp:simplePos x="0" y="0"/>
          <wp:positionH relativeFrom="column">
            <wp:posOffset>3723277</wp:posOffset>
          </wp:positionH>
          <wp:positionV relativeFrom="paragraph">
            <wp:posOffset>-199843</wp:posOffset>
          </wp:positionV>
          <wp:extent cx="2212522" cy="576943"/>
          <wp:effectExtent l="19050" t="0" r="0" b="0"/>
          <wp:wrapNone/>
          <wp:docPr id="4" name="Picture 2" descr="GWP Globa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P Global rgb.jpg"/>
                  <pic:cNvPicPr/>
                </pic:nvPicPr>
                <pic:blipFill>
                  <a:blip r:embed="rId1" cstate="print"/>
                  <a:stretch>
                    <a:fillRect/>
                  </a:stretch>
                </pic:blipFill>
                <pic:spPr>
                  <a:xfrm>
                    <a:off x="0" y="0"/>
                    <a:ext cx="2212522" cy="5769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115"/>
    <w:multiLevelType w:val="hybridMultilevel"/>
    <w:tmpl w:val="2AE26602"/>
    <w:lvl w:ilvl="0" w:tplc="041D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32983"/>
    <w:multiLevelType w:val="hybridMultilevel"/>
    <w:tmpl w:val="6B6E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695DBF"/>
    <w:multiLevelType w:val="hybridMultilevel"/>
    <w:tmpl w:val="C220E45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2334474B"/>
    <w:multiLevelType w:val="hybridMultilevel"/>
    <w:tmpl w:val="72EEA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B4360C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2B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37F4DCC"/>
    <w:multiLevelType w:val="hybridMultilevel"/>
    <w:tmpl w:val="B762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44265"/>
    <w:multiLevelType w:val="hybridMultilevel"/>
    <w:tmpl w:val="C9D45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5D90948"/>
    <w:multiLevelType w:val="hybridMultilevel"/>
    <w:tmpl w:val="F7D2E294"/>
    <w:lvl w:ilvl="0" w:tplc="ED822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80369"/>
    <w:multiLevelType w:val="hybridMultilevel"/>
    <w:tmpl w:val="055007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B254783"/>
    <w:multiLevelType w:val="hybridMultilevel"/>
    <w:tmpl w:val="473642B4"/>
    <w:lvl w:ilvl="0" w:tplc="9940981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11">
    <w:nsid w:val="4028101D"/>
    <w:multiLevelType w:val="hybridMultilevel"/>
    <w:tmpl w:val="A2B0D9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3915606"/>
    <w:multiLevelType w:val="hybridMultilevel"/>
    <w:tmpl w:val="B61E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9724DF"/>
    <w:multiLevelType w:val="hybridMultilevel"/>
    <w:tmpl w:val="86862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9E0497C"/>
    <w:multiLevelType w:val="hybridMultilevel"/>
    <w:tmpl w:val="D982E2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E0D0964"/>
    <w:multiLevelType w:val="hybridMultilevel"/>
    <w:tmpl w:val="2E5E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93492A"/>
    <w:multiLevelType w:val="hybridMultilevel"/>
    <w:tmpl w:val="14AA22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599A4043"/>
    <w:multiLevelType w:val="hybridMultilevel"/>
    <w:tmpl w:val="00CCF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DBC4360"/>
    <w:multiLevelType w:val="hybridMultilevel"/>
    <w:tmpl w:val="C4BAA74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nsid w:val="61344808"/>
    <w:multiLevelType w:val="hybridMultilevel"/>
    <w:tmpl w:val="694018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63AA4BE0"/>
    <w:multiLevelType w:val="hybridMultilevel"/>
    <w:tmpl w:val="243469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51E6CB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CB1964"/>
    <w:multiLevelType w:val="hybridMultilevel"/>
    <w:tmpl w:val="F9B88A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761F62F8"/>
    <w:multiLevelType w:val="hybridMultilevel"/>
    <w:tmpl w:val="39642A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A404229"/>
    <w:multiLevelType w:val="hybridMultilevel"/>
    <w:tmpl w:val="DA58E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7"/>
  </w:num>
  <w:num w:numId="4">
    <w:abstractNumId w:val="3"/>
  </w:num>
  <w:num w:numId="5">
    <w:abstractNumId w:val="21"/>
  </w:num>
  <w:num w:numId="6">
    <w:abstractNumId w:val="4"/>
  </w:num>
  <w:num w:numId="7">
    <w:abstractNumId w:val="5"/>
  </w:num>
  <w:num w:numId="8">
    <w:abstractNumId w:val="16"/>
  </w:num>
  <w:num w:numId="9">
    <w:abstractNumId w:val="6"/>
  </w:num>
  <w:num w:numId="10">
    <w:abstractNumId w:val="9"/>
  </w:num>
  <w:num w:numId="11">
    <w:abstractNumId w:val="11"/>
  </w:num>
  <w:num w:numId="12">
    <w:abstractNumId w:val="20"/>
  </w:num>
  <w:num w:numId="13">
    <w:abstractNumId w:val="14"/>
  </w:num>
  <w:num w:numId="14">
    <w:abstractNumId w:val="24"/>
  </w:num>
  <w:num w:numId="15">
    <w:abstractNumId w:val="13"/>
  </w:num>
  <w:num w:numId="16">
    <w:abstractNumId w:val="22"/>
  </w:num>
  <w:num w:numId="17">
    <w:abstractNumId w:val="0"/>
  </w:num>
  <w:num w:numId="18">
    <w:abstractNumId w:val="8"/>
  </w:num>
  <w:num w:numId="19">
    <w:abstractNumId w:val="1"/>
  </w:num>
  <w:num w:numId="20">
    <w:abstractNumId w:val="12"/>
  </w:num>
  <w:num w:numId="21">
    <w:abstractNumId w:val="15"/>
  </w:num>
  <w:num w:numId="22">
    <w:abstractNumId w:val="18"/>
  </w:num>
  <w:num w:numId="23">
    <w:abstractNumId w:val="19"/>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0B"/>
    <w:rsid w:val="00006AD5"/>
    <w:rsid w:val="00027909"/>
    <w:rsid w:val="000403A0"/>
    <w:rsid w:val="00044841"/>
    <w:rsid w:val="00051F23"/>
    <w:rsid w:val="000538ED"/>
    <w:rsid w:val="000540B9"/>
    <w:rsid w:val="00056385"/>
    <w:rsid w:val="0007457C"/>
    <w:rsid w:val="00077EC5"/>
    <w:rsid w:val="000822A8"/>
    <w:rsid w:val="00083E2E"/>
    <w:rsid w:val="000A7200"/>
    <w:rsid w:val="000B080F"/>
    <w:rsid w:val="000B36E8"/>
    <w:rsid w:val="000D01EE"/>
    <w:rsid w:val="000F22F3"/>
    <w:rsid w:val="00137BAE"/>
    <w:rsid w:val="00180087"/>
    <w:rsid w:val="00190983"/>
    <w:rsid w:val="001C4CAB"/>
    <w:rsid w:val="001D3384"/>
    <w:rsid w:val="001F18EA"/>
    <w:rsid w:val="001F2375"/>
    <w:rsid w:val="001F378C"/>
    <w:rsid w:val="001F7B56"/>
    <w:rsid w:val="00200B48"/>
    <w:rsid w:val="00206F0C"/>
    <w:rsid w:val="00212874"/>
    <w:rsid w:val="00220F7D"/>
    <w:rsid w:val="0022247D"/>
    <w:rsid w:val="00224632"/>
    <w:rsid w:val="00236EA3"/>
    <w:rsid w:val="002426FF"/>
    <w:rsid w:val="00263162"/>
    <w:rsid w:val="00270CF1"/>
    <w:rsid w:val="002A28C4"/>
    <w:rsid w:val="002B188D"/>
    <w:rsid w:val="002B2A59"/>
    <w:rsid w:val="002C0E1A"/>
    <w:rsid w:val="002C7276"/>
    <w:rsid w:val="002F2956"/>
    <w:rsid w:val="00303294"/>
    <w:rsid w:val="0033304F"/>
    <w:rsid w:val="00340ACA"/>
    <w:rsid w:val="00342156"/>
    <w:rsid w:val="0035695D"/>
    <w:rsid w:val="00361D15"/>
    <w:rsid w:val="0037593D"/>
    <w:rsid w:val="00376DCB"/>
    <w:rsid w:val="00382043"/>
    <w:rsid w:val="003B03B3"/>
    <w:rsid w:val="003B33C4"/>
    <w:rsid w:val="003C3F9F"/>
    <w:rsid w:val="003C5CCF"/>
    <w:rsid w:val="003D3563"/>
    <w:rsid w:val="003E1815"/>
    <w:rsid w:val="003E43CB"/>
    <w:rsid w:val="003E5127"/>
    <w:rsid w:val="003E546A"/>
    <w:rsid w:val="00405B65"/>
    <w:rsid w:val="004072FA"/>
    <w:rsid w:val="004167CB"/>
    <w:rsid w:val="004418E8"/>
    <w:rsid w:val="00453164"/>
    <w:rsid w:val="004706B0"/>
    <w:rsid w:val="00495215"/>
    <w:rsid w:val="00496183"/>
    <w:rsid w:val="004B0B55"/>
    <w:rsid w:val="004B463A"/>
    <w:rsid w:val="004C097B"/>
    <w:rsid w:val="004C2F22"/>
    <w:rsid w:val="004C4129"/>
    <w:rsid w:val="004C56FA"/>
    <w:rsid w:val="004D10A1"/>
    <w:rsid w:val="004D12AE"/>
    <w:rsid w:val="004F1F8A"/>
    <w:rsid w:val="004F561E"/>
    <w:rsid w:val="00504A59"/>
    <w:rsid w:val="005113ED"/>
    <w:rsid w:val="00512CB0"/>
    <w:rsid w:val="00512DAF"/>
    <w:rsid w:val="00516ED6"/>
    <w:rsid w:val="005245F0"/>
    <w:rsid w:val="005544C3"/>
    <w:rsid w:val="00567C3E"/>
    <w:rsid w:val="0058028A"/>
    <w:rsid w:val="005B2781"/>
    <w:rsid w:val="005B32C1"/>
    <w:rsid w:val="005B3DC9"/>
    <w:rsid w:val="005C46F9"/>
    <w:rsid w:val="005D0F68"/>
    <w:rsid w:val="005D1944"/>
    <w:rsid w:val="005D21E7"/>
    <w:rsid w:val="005E09F4"/>
    <w:rsid w:val="005E0CE1"/>
    <w:rsid w:val="005E0E91"/>
    <w:rsid w:val="005E5B58"/>
    <w:rsid w:val="00605308"/>
    <w:rsid w:val="00611D04"/>
    <w:rsid w:val="0062660A"/>
    <w:rsid w:val="00632B0D"/>
    <w:rsid w:val="00643D2A"/>
    <w:rsid w:val="006450A1"/>
    <w:rsid w:val="00662105"/>
    <w:rsid w:val="0066743B"/>
    <w:rsid w:val="006726DD"/>
    <w:rsid w:val="006C6CB6"/>
    <w:rsid w:val="006E3520"/>
    <w:rsid w:val="006E79E5"/>
    <w:rsid w:val="006F3181"/>
    <w:rsid w:val="006F6535"/>
    <w:rsid w:val="006F7D4F"/>
    <w:rsid w:val="006F7FF3"/>
    <w:rsid w:val="00707A35"/>
    <w:rsid w:val="00714452"/>
    <w:rsid w:val="007237D7"/>
    <w:rsid w:val="00752278"/>
    <w:rsid w:val="00752C8E"/>
    <w:rsid w:val="00752DB6"/>
    <w:rsid w:val="007539C5"/>
    <w:rsid w:val="00755A25"/>
    <w:rsid w:val="00762870"/>
    <w:rsid w:val="00765B20"/>
    <w:rsid w:val="0076737D"/>
    <w:rsid w:val="0076764C"/>
    <w:rsid w:val="00767932"/>
    <w:rsid w:val="00772F42"/>
    <w:rsid w:val="007767B4"/>
    <w:rsid w:val="00787BF0"/>
    <w:rsid w:val="00794C7E"/>
    <w:rsid w:val="007969BD"/>
    <w:rsid w:val="007B32F9"/>
    <w:rsid w:val="007B7ED8"/>
    <w:rsid w:val="007C308D"/>
    <w:rsid w:val="007D4F31"/>
    <w:rsid w:val="00815FD6"/>
    <w:rsid w:val="0085240B"/>
    <w:rsid w:val="00860667"/>
    <w:rsid w:val="00875614"/>
    <w:rsid w:val="00881609"/>
    <w:rsid w:val="008C295A"/>
    <w:rsid w:val="008C3C98"/>
    <w:rsid w:val="008C5009"/>
    <w:rsid w:val="008D0D37"/>
    <w:rsid w:val="008E1839"/>
    <w:rsid w:val="00905230"/>
    <w:rsid w:val="00905279"/>
    <w:rsid w:val="00905593"/>
    <w:rsid w:val="009062EE"/>
    <w:rsid w:val="009067E5"/>
    <w:rsid w:val="0092526E"/>
    <w:rsid w:val="00926F19"/>
    <w:rsid w:val="00950D42"/>
    <w:rsid w:val="00954088"/>
    <w:rsid w:val="00956545"/>
    <w:rsid w:val="009732A1"/>
    <w:rsid w:val="00974135"/>
    <w:rsid w:val="00976CB5"/>
    <w:rsid w:val="0098494A"/>
    <w:rsid w:val="00987B05"/>
    <w:rsid w:val="009B384C"/>
    <w:rsid w:val="009B4100"/>
    <w:rsid w:val="009C6862"/>
    <w:rsid w:val="009D2A20"/>
    <w:rsid w:val="009E3533"/>
    <w:rsid w:val="00A044B8"/>
    <w:rsid w:val="00A12598"/>
    <w:rsid w:val="00A130B9"/>
    <w:rsid w:val="00A138AB"/>
    <w:rsid w:val="00A13F81"/>
    <w:rsid w:val="00A15CEA"/>
    <w:rsid w:val="00A30E5A"/>
    <w:rsid w:val="00A426C0"/>
    <w:rsid w:val="00A601F2"/>
    <w:rsid w:val="00A70C81"/>
    <w:rsid w:val="00A718A0"/>
    <w:rsid w:val="00A71A0E"/>
    <w:rsid w:val="00AD0102"/>
    <w:rsid w:val="00AD5070"/>
    <w:rsid w:val="00AE3807"/>
    <w:rsid w:val="00AE5F3F"/>
    <w:rsid w:val="00AE6F88"/>
    <w:rsid w:val="00AE7E99"/>
    <w:rsid w:val="00AF097E"/>
    <w:rsid w:val="00AF2EF2"/>
    <w:rsid w:val="00B05116"/>
    <w:rsid w:val="00B1333E"/>
    <w:rsid w:val="00B30CF6"/>
    <w:rsid w:val="00B3178C"/>
    <w:rsid w:val="00B32EBF"/>
    <w:rsid w:val="00B37720"/>
    <w:rsid w:val="00B459A9"/>
    <w:rsid w:val="00B555A3"/>
    <w:rsid w:val="00B66B0E"/>
    <w:rsid w:val="00B672BE"/>
    <w:rsid w:val="00B702BD"/>
    <w:rsid w:val="00B9428C"/>
    <w:rsid w:val="00B9506F"/>
    <w:rsid w:val="00B95731"/>
    <w:rsid w:val="00B9640F"/>
    <w:rsid w:val="00BB5115"/>
    <w:rsid w:val="00BD2AA9"/>
    <w:rsid w:val="00BD601D"/>
    <w:rsid w:val="00BD69DB"/>
    <w:rsid w:val="00BD789E"/>
    <w:rsid w:val="00BE6775"/>
    <w:rsid w:val="00BF51E1"/>
    <w:rsid w:val="00C058C7"/>
    <w:rsid w:val="00C06495"/>
    <w:rsid w:val="00C33351"/>
    <w:rsid w:val="00C60C28"/>
    <w:rsid w:val="00C62463"/>
    <w:rsid w:val="00C766F1"/>
    <w:rsid w:val="00C77E69"/>
    <w:rsid w:val="00C81AC2"/>
    <w:rsid w:val="00C82F60"/>
    <w:rsid w:val="00C85AF4"/>
    <w:rsid w:val="00CA3CCE"/>
    <w:rsid w:val="00CA400C"/>
    <w:rsid w:val="00CC7C46"/>
    <w:rsid w:val="00CF0D69"/>
    <w:rsid w:val="00CF1274"/>
    <w:rsid w:val="00D11458"/>
    <w:rsid w:val="00D12383"/>
    <w:rsid w:val="00D17032"/>
    <w:rsid w:val="00D24C00"/>
    <w:rsid w:val="00D32A40"/>
    <w:rsid w:val="00D3710E"/>
    <w:rsid w:val="00D37206"/>
    <w:rsid w:val="00D8128E"/>
    <w:rsid w:val="00D83A6C"/>
    <w:rsid w:val="00D8402A"/>
    <w:rsid w:val="00D921FA"/>
    <w:rsid w:val="00DA09B4"/>
    <w:rsid w:val="00DA5E53"/>
    <w:rsid w:val="00DB753C"/>
    <w:rsid w:val="00DF12A3"/>
    <w:rsid w:val="00DF17E5"/>
    <w:rsid w:val="00DF3074"/>
    <w:rsid w:val="00E15EAC"/>
    <w:rsid w:val="00E167AB"/>
    <w:rsid w:val="00E27AD4"/>
    <w:rsid w:val="00E36CDE"/>
    <w:rsid w:val="00E45B7D"/>
    <w:rsid w:val="00E465CD"/>
    <w:rsid w:val="00E55DE0"/>
    <w:rsid w:val="00E72DE9"/>
    <w:rsid w:val="00E7564E"/>
    <w:rsid w:val="00E77172"/>
    <w:rsid w:val="00E959B6"/>
    <w:rsid w:val="00E967EA"/>
    <w:rsid w:val="00E977E7"/>
    <w:rsid w:val="00EB1A49"/>
    <w:rsid w:val="00EB4EEC"/>
    <w:rsid w:val="00ED10A3"/>
    <w:rsid w:val="00ED707F"/>
    <w:rsid w:val="00F062DF"/>
    <w:rsid w:val="00F116C9"/>
    <w:rsid w:val="00F16D5E"/>
    <w:rsid w:val="00F20F33"/>
    <w:rsid w:val="00F32696"/>
    <w:rsid w:val="00F434B7"/>
    <w:rsid w:val="00F56CF8"/>
    <w:rsid w:val="00F62F2F"/>
    <w:rsid w:val="00F878A4"/>
    <w:rsid w:val="00FB4705"/>
    <w:rsid w:val="00FC2046"/>
    <w:rsid w:val="00FC3F9E"/>
    <w:rsid w:val="00FE7418"/>
    <w:rsid w:val="06CF4BFA"/>
    <w:rsid w:val="1137D8E6"/>
    <w:rsid w:val="177C6A49"/>
    <w:rsid w:val="17A0CE98"/>
    <w:rsid w:val="192A10AC"/>
    <w:rsid w:val="1ECEA71B"/>
    <w:rsid w:val="1FB1FF5C"/>
    <w:rsid w:val="2360E104"/>
    <w:rsid w:val="273C7145"/>
    <w:rsid w:val="29B4ED2D"/>
    <w:rsid w:val="29EF1C57"/>
    <w:rsid w:val="319F0CF1"/>
    <w:rsid w:val="32409B66"/>
    <w:rsid w:val="329663F9"/>
    <w:rsid w:val="3426EC0B"/>
    <w:rsid w:val="35CCDB93"/>
    <w:rsid w:val="3606FB37"/>
    <w:rsid w:val="361ADAB3"/>
    <w:rsid w:val="371BE021"/>
    <w:rsid w:val="39386342"/>
    <w:rsid w:val="3E787C05"/>
    <w:rsid w:val="3F9E5CE1"/>
    <w:rsid w:val="44916C0F"/>
    <w:rsid w:val="45517651"/>
    <w:rsid w:val="4595C03F"/>
    <w:rsid w:val="48173FB8"/>
    <w:rsid w:val="48E7AF19"/>
    <w:rsid w:val="4D0DF19E"/>
    <w:rsid w:val="4F61CED0"/>
    <w:rsid w:val="51449817"/>
    <w:rsid w:val="523861DB"/>
    <w:rsid w:val="5511A8A8"/>
    <w:rsid w:val="56240008"/>
    <w:rsid w:val="5896FC96"/>
    <w:rsid w:val="5A08C633"/>
    <w:rsid w:val="5B572E04"/>
    <w:rsid w:val="5BF87B33"/>
    <w:rsid w:val="5E904D9A"/>
    <w:rsid w:val="5F112F11"/>
    <w:rsid w:val="60F0858C"/>
    <w:rsid w:val="6219A190"/>
    <w:rsid w:val="641FE73B"/>
    <w:rsid w:val="64C7FB24"/>
    <w:rsid w:val="6626AAE8"/>
    <w:rsid w:val="6632E2DD"/>
    <w:rsid w:val="68F71AB7"/>
    <w:rsid w:val="6B95FC75"/>
    <w:rsid w:val="6D4649A6"/>
    <w:rsid w:val="6D885E57"/>
    <w:rsid w:val="6D9F90EB"/>
    <w:rsid w:val="6E5D4140"/>
    <w:rsid w:val="6F904C0B"/>
    <w:rsid w:val="72A29527"/>
    <w:rsid w:val="75E596CF"/>
    <w:rsid w:val="7926013C"/>
    <w:rsid w:val="79E99E41"/>
    <w:rsid w:val="7BB74C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9F8216F"/>
  <w15:docId w15:val="{64050C2F-4430-4F01-81DC-5F3ACA52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84C"/>
    <w:rPr>
      <w:sz w:val="24"/>
    </w:rPr>
  </w:style>
  <w:style w:type="paragraph" w:styleId="Heading1">
    <w:name w:val="heading 1"/>
    <w:basedOn w:val="Heading2"/>
    <w:next w:val="Normal"/>
    <w:link w:val="Heading1Char"/>
    <w:uiPriority w:val="9"/>
    <w:qFormat/>
    <w:rsid w:val="009B384C"/>
    <w:pPr>
      <w:widowControl w:val="0"/>
      <w:spacing w:before="0" w:beforeAutospacing="0" w:after="120" w:afterAutospacing="0"/>
      <w:outlineLvl w:val="0"/>
    </w:pPr>
    <w:rPr>
      <w:sz w:val="36"/>
      <w:szCs w:val="44"/>
    </w:rPr>
  </w:style>
  <w:style w:type="paragraph" w:styleId="Heading2">
    <w:name w:val="heading 2"/>
    <w:basedOn w:val="Normal"/>
    <w:link w:val="Heading2Char"/>
    <w:uiPriority w:val="9"/>
    <w:qFormat/>
    <w:rsid w:val="009B384C"/>
    <w:pPr>
      <w:spacing w:before="100" w:beforeAutospacing="1" w:after="100" w:afterAutospacing="1" w:line="240" w:lineRule="atLeast"/>
      <w:outlineLvl w:val="1"/>
    </w:pPr>
    <w:rPr>
      <w:rFonts w:ascii="Trebuchet MS" w:eastAsia="Times New Roman" w:hAnsi="Trebuchet MS" w:cs="Times New Roman"/>
      <w:color w:val="00AA4E"/>
      <w:sz w:val="28"/>
      <w:szCs w:val="41"/>
      <w:lang w:val="en-GB" w:eastAsia="en-GB"/>
    </w:rPr>
  </w:style>
  <w:style w:type="paragraph" w:styleId="Heading3">
    <w:name w:val="heading 3"/>
    <w:basedOn w:val="Normal"/>
    <w:next w:val="Normal"/>
    <w:link w:val="Heading3Char"/>
    <w:uiPriority w:val="9"/>
    <w:unhideWhenUsed/>
    <w:qFormat/>
    <w:rsid w:val="009B38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F17E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B1A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067E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732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7EA"/>
    <w:rPr>
      <w:rFonts w:ascii="Tahoma" w:hAnsi="Tahoma" w:cs="Tahoma"/>
      <w:sz w:val="16"/>
      <w:szCs w:val="16"/>
    </w:rPr>
  </w:style>
  <w:style w:type="character" w:styleId="Hyperlink">
    <w:name w:val="Hyperlink"/>
    <w:basedOn w:val="DefaultParagraphFont"/>
    <w:uiPriority w:val="99"/>
    <w:unhideWhenUsed/>
    <w:rsid w:val="005245F0"/>
    <w:rPr>
      <w:color w:val="0000FF"/>
      <w:u w:val="single"/>
    </w:rPr>
  </w:style>
  <w:style w:type="character" w:customStyle="1" w:styleId="Heading2Char">
    <w:name w:val="Heading 2 Char"/>
    <w:basedOn w:val="DefaultParagraphFont"/>
    <w:link w:val="Heading2"/>
    <w:uiPriority w:val="9"/>
    <w:rsid w:val="009B384C"/>
    <w:rPr>
      <w:rFonts w:ascii="Trebuchet MS" w:eastAsia="Times New Roman" w:hAnsi="Trebuchet MS" w:cs="Times New Roman"/>
      <w:color w:val="00AA4E"/>
      <w:sz w:val="28"/>
      <w:szCs w:val="41"/>
      <w:lang w:val="en-GB" w:eastAsia="en-GB"/>
    </w:rPr>
  </w:style>
  <w:style w:type="paragraph" w:styleId="NormalWeb">
    <w:name w:val="Normal (Web)"/>
    <w:basedOn w:val="Normal"/>
    <w:uiPriority w:val="99"/>
    <w:unhideWhenUsed/>
    <w:rsid w:val="0092526E"/>
    <w:pPr>
      <w:spacing w:before="255" w:after="255" w:line="336" w:lineRule="atLeast"/>
    </w:pPr>
    <w:rPr>
      <w:rFonts w:ascii="Times New Roman" w:eastAsia="Times New Roman" w:hAnsi="Times New Roman" w:cs="Times New Roman"/>
      <w:spacing w:val="5"/>
      <w:szCs w:val="24"/>
      <w:lang w:val="en-GB" w:eastAsia="en-GB"/>
    </w:rPr>
  </w:style>
  <w:style w:type="character" w:customStyle="1" w:styleId="meta-prep">
    <w:name w:val="meta-prep"/>
    <w:basedOn w:val="DefaultParagraphFont"/>
    <w:rsid w:val="0092526E"/>
  </w:style>
  <w:style w:type="character" w:customStyle="1" w:styleId="entry-date">
    <w:name w:val="entry-date"/>
    <w:basedOn w:val="DefaultParagraphFont"/>
    <w:rsid w:val="0092526E"/>
  </w:style>
  <w:style w:type="character" w:customStyle="1" w:styleId="meta-sep">
    <w:name w:val="meta-sep"/>
    <w:basedOn w:val="DefaultParagraphFont"/>
    <w:rsid w:val="0092526E"/>
  </w:style>
  <w:style w:type="character" w:customStyle="1" w:styleId="author">
    <w:name w:val="author"/>
    <w:basedOn w:val="DefaultParagraphFont"/>
    <w:rsid w:val="0092526E"/>
  </w:style>
  <w:style w:type="paragraph" w:styleId="Header">
    <w:name w:val="header"/>
    <w:basedOn w:val="Normal"/>
    <w:link w:val="HeaderChar"/>
    <w:uiPriority w:val="99"/>
    <w:unhideWhenUsed/>
    <w:rsid w:val="00925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26E"/>
  </w:style>
  <w:style w:type="paragraph" w:styleId="Footer">
    <w:name w:val="footer"/>
    <w:basedOn w:val="Normal"/>
    <w:link w:val="FooterChar"/>
    <w:uiPriority w:val="99"/>
    <w:unhideWhenUsed/>
    <w:rsid w:val="00925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26E"/>
  </w:style>
  <w:style w:type="character" w:customStyle="1" w:styleId="A7">
    <w:name w:val="A7"/>
    <w:uiPriority w:val="99"/>
    <w:rsid w:val="00F116C9"/>
    <w:rPr>
      <w:rFonts w:cs="Agfa Rotis Sans Serif"/>
      <w:i/>
      <w:iCs/>
      <w:color w:val="211D1E"/>
      <w:sz w:val="22"/>
      <w:szCs w:val="22"/>
    </w:rPr>
  </w:style>
  <w:style w:type="character" w:customStyle="1" w:styleId="Heading1Char">
    <w:name w:val="Heading 1 Char"/>
    <w:basedOn w:val="DefaultParagraphFont"/>
    <w:link w:val="Heading1"/>
    <w:uiPriority w:val="9"/>
    <w:rsid w:val="009B384C"/>
    <w:rPr>
      <w:rFonts w:ascii="Trebuchet MS" w:eastAsia="Times New Roman" w:hAnsi="Trebuchet MS" w:cs="Times New Roman"/>
      <w:color w:val="00AA4E"/>
      <w:sz w:val="36"/>
      <w:szCs w:val="44"/>
      <w:lang w:val="en-GB" w:eastAsia="en-GB"/>
    </w:rPr>
  </w:style>
  <w:style w:type="paragraph" w:styleId="NoSpacing">
    <w:name w:val="No Spacing"/>
    <w:uiPriority w:val="1"/>
    <w:qFormat/>
    <w:rsid w:val="009B384C"/>
    <w:pPr>
      <w:spacing w:after="0" w:line="240" w:lineRule="auto"/>
    </w:pPr>
    <w:rPr>
      <w:sz w:val="24"/>
    </w:rPr>
  </w:style>
  <w:style w:type="character" w:customStyle="1" w:styleId="Heading3Char">
    <w:name w:val="Heading 3 Char"/>
    <w:basedOn w:val="DefaultParagraphFont"/>
    <w:link w:val="Heading3"/>
    <w:uiPriority w:val="9"/>
    <w:rsid w:val="009B384C"/>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F17E5"/>
    <w:pPr>
      <w:ind w:left="720"/>
      <w:contextualSpacing/>
    </w:pPr>
  </w:style>
  <w:style w:type="character" w:customStyle="1" w:styleId="Heading4Char">
    <w:name w:val="Heading 4 Char"/>
    <w:basedOn w:val="DefaultParagraphFont"/>
    <w:link w:val="Heading4"/>
    <w:uiPriority w:val="9"/>
    <w:rsid w:val="00DF17E5"/>
    <w:rPr>
      <w:rFonts w:asciiTheme="majorHAnsi" w:eastAsiaTheme="majorEastAsia" w:hAnsiTheme="majorHAnsi" w:cstheme="majorBidi"/>
      <w:i/>
      <w:iCs/>
      <w:color w:val="365F91" w:themeColor="accent1" w:themeShade="BF"/>
      <w:sz w:val="24"/>
    </w:rPr>
  </w:style>
  <w:style w:type="character" w:styleId="IntenseEmphasis">
    <w:name w:val="Intense Emphasis"/>
    <w:basedOn w:val="DefaultParagraphFont"/>
    <w:uiPriority w:val="21"/>
    <w:qFormat/>
    <w:rsid w:val="005D0F68"/>
    <w:rPr>
      <w:i/>
      <w:iCs/>
      <w:color w:val="4F81BD" w:themeColor="accent1"/>
    </w:rPr>
  </w:style>
  <w:style w:type="character" w:styleId="CommentReference">
    <w:name w:val="annotation reference"/>
    <w:basedOn w:val="DefaultParagraphFont"/>
    <w:uiPriority w:val="99"/>
    <w:semiHidden/>
    <w:unhideWhenUsed/>
    <w:rsid w:val="009B4100"/>
    <w:rPr>
      <w:sz w:val="16"/>
      <w:szCs w:val="16"/>
    </w:rPr>
  </w:style>
  <w:style w:type="paragraph" w:styleId="CommentText">
    <w:name w:val="annotation text"/>
    <w:basedOn w:val="Normal"/>
    <w:link w:val="CommentTextChar"/>
    <w:uiPriority w:val="99"/>
    <w:semiHidden/>
    <w:unhideWhenUsed/>
    <w:rsid w:val="009B4100"/>
    <w:pPr>
      <w:spacing w:line="240" w:lineRule="auto"/>
    </w:pPr>
    <w:rPr>
      <w:sz w:val="20"/>
      <w:szCs w:val="20"/>
    </w:rPr>
  </w:style>
  <w:style w:type="character" w:customStyle="1" w:styleId="CommentTextChar">
    <w:name w:val="Comment Text Char"/>
    <w:basedOn w:val="DefaultParagraphFont"/>
    <w:link w:val="CommentText"/>
    <w:uiPriority w:val="99"/>
    <w:semiHidden/>
    <w:rsid w:val="009B4100"/>
    <w:rPr>
      <w:sz w:val="20"/>
      <w:szCs w:val="20"/>
    </w:rPr>
  </w:style>
  <w:style w:type="paragraph" w:styleId="CommentSubject">
    <w:name w:val="annotation subject"/>
    <w:basedOn w:val="CommentText"/>
    <w:next w:val="CommentText"/>
    <w:link w:val="CommentSubjectChar"/>
    <w:uiPriority w:val="99"/>
    <w:semiHidden/>
    <w:unhideWhenUsed/>
    <w:rsid w:val="009B4100"/>
    <w:rPr>
      <w:b/>
      <w:bCs/>
    </w:rPr>
  </w:style>
  <w:style w:type="character" w:customStyle="1" w:styleId="CommentSubjectChar">
    <w:name w:val="Comment Subject Char"/>
    <w:basedOn w:val="CommentTextChar"/>
    <w:link w:val="CommentSubject"/>
    <w:uiPriority w:val="99"/>
    <w:semiHidden/>
    <w:rsid w:val="009B4100"/>
    <w:rPr>
      <w:b/>
      <w:bCs/>
      <w:sz w:val="20"/>
      <w:szCs w:val="20"/>
    </w:rPr>
  </w:style>
  <w:style w:type="paragraph" w:styleId="FootnoteText">
    <w:name w:val="footnote text"/>
    <w:basedOn w:val="Normal"/>
    <w:link w:val="FootnoteTextChar"/>
    <w:uiPriority w:val="99"/>
    <w:semiHidden/>
    <w:unhideWhenUsed/>
    <w:rsid w:val="00236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EA3"/>
    <w:rPr>
      <w:sz w:val="20"/>
      <w:szCs w:val="20"/>
    </w:rPr>
  </w:style>
  <w:style w:type="character" w:styleId="FootnoteReference">
    <w:name w:val="footnote reference"/>
    <w:basedOn w:val="DefaultParagraphFont"/>
    <w:uiPriority w:val="99"/>
    <w:semiHidden/>
    <w:unhideWhenUsed/>
    <w:rsid w:val="00236EA3"/>
    <w:rPr>
      <w:vertAlign w:val="superscript"/>
    </w:rPr>
  </w:style>
  <w:style w:type="table" w:styleId="TableGrid">
    <w:name w:val="Table Grid"/>
    <w:basedOn w:val="TableNormal"/>
    <w:uiPriority w:val="59"/>
    <w:rsid w:val="00881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EB1A49"/>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9067E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9732A1"/>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973339">
      <w:bodyDiv w:val="1"/>
      <w:marLeft w:val="0"/>
      <w:marRight w:val="0"/>
      <w:marTop w:val="0"/>
      <w:marBottom w:val="0"/>
      <w:divBdr>
        <w:top w:val="none" w:sz="0" w:space="0" w:color="auto"/>
        <w:left w:val="none" w:sz="0" w:space="0" w:color="auto"/>
        <w:bottom w:val="none" w:sz="0" w:space="0" w:color="auto"/>
        <w:right w:val="none" w:sz="0" w:space="0" w:color="auto"/>
      </w:divBdr>
    </w:div>
    <w:div w:id="1727682584">
      <w:bodyDiv w:val="1"/>
      <w:marLeft w:val="0"/>
      <w:marRight w:val="0"/>
      <w:marTop w:val="0"/>
      <w:marBottom w:val="0"/>
      <w:divBdr>
        <w:top w:val="none" w:sz="0" w:space="0" w:color="auto"/>
        <w:left w:val="none" w:sz="0" w:space="0" w:color="auto"/>
        <w:bottom w:val="none" w:sz="0" w:space="0" w:color="auto"/>
        <w:right w:val="none" w:sz="0" w:space="0" w:color="auto"/>
      </w:divBdr>
      <w:divsChild>
        <w:div w:id="681707800">
          <w:marLeft w:val="0"/>
          <w:marRight w:val="0"/>
          <w:marTop w:val="0"/>
          <w:marBottom w:val="0"/>
          <w:divBdr>
            <w:top w:val="none" w:sz="0" w:space="0" w:color="auto"/>
            <w:left w:val="none" w:sz="0" w:space="0" w:color="auto"/>
            <w:bottom w:val="none" w:sz="0" w:space="0" w:color="auto"/>
            <w:right w:val="none" w:sz="0" w:space="0" w:color="auto"/>
          </w:divBdr>
          <w:divsChild>
            <w:div w:id="1030374522">
              <w:marLeft w:val="0"/>
              <w:marRight w:val="0"/>
              <w:marTop w:val="0"/>
              <w:marBottom w:val="0"/>
              <w:divBdr>
                <w:top w:val="none" w:sz="0" w:space="0" w:color="auto"/>
                <w:left w:val="none" w:sz="0" w:space="0" w:color="auto"/>
                <w:bottom w:val="none" w:sz="0" w:space="0" w:color="auto"/>
                <w:right w:val="none" w:sz="0" w:space="0" w:color="auto"/>
              </w:divBdr>
              <w:divsChild>
                <w:div w:id="232086182">
                  <w:marLeft w:val="0"/>
                  <w:marRight w:val="0"/>
                  <w:marTop w:val="0"/>
                  <w:marBottom w:val="0"/>
                  <w:divBdr>
                    <w:top w:val="none" w:sz="0" w:space="0" w:color="auto"/>
                    <w:left w:val="none" w:sz="0" w:space="0" w:color="auto"/>
                    <w:bottom w:val="none" w:sz="0" w:space="0" w:color="auto"/>
                    <w:right w:val="none" w:sz="0" w:space="0" w:color="auto"/>
                  </w:divBdr>
                  <w:divsChild>
                    <w:div w:id="1854227681">
                      <w:marLeft w:val="0"/>
                      <w:marRight w:val="0"/>
                      <w:marTop w:val="0"/>
                      <w:marBottom w:val="0"/>
                      <w:divBdr>
                        <w:top w:val="none" w:sz="0" w:space="0" w:color="auto"/>
                        <w:left w:val="none" w:sz="0" w:space="0" w:color="auto"/>
                        <w:bottom w:val="none" w:sz="0" w:space="0" w:color="auto"/>
                        <w:right w:val="none" w:sz="0" w:space="0" w:color="auto"/>
                      </w:divBdr>
                      <w:divsChild>
                        <w:div w:id="859011010">
                          <w:marLeft w:val="0"/>
                          <w:marRight w:val="0"/>
                          <w:marTop w:val="0"/>
                          <w:marBottom w:val="0"/>
                          <w:divBdr>
                            <w:top w:val="none" w:sz="0" w:space="0" w:color="auto"/>
                            <w:left w:val="none" w:sz="0" w:space="0" w:color="auto"/>
                            <w:bottom w:val="none" w:sz="0" w:space="0" w:color="auto"/>
                            <w:right w:val="none" w:sz="0" w:space="0" w:color="auto"/>
                          </w:divBdr>
                          <w:divsChild>
                            <w:div w:id="970403767">
                              <w:marLeft w:val="0"/>
                              <w:marRight w:val="0"/>
                              <w:marTop w:val="0"/>
                              <w:marBottom w:val="0"/>
                              <w:divBdr>
                                <w:top w:val="none" w:sz="0" w:space="0" w:color="auto"/>
                                <w:left w:val="none" w:sz="0" w:space="0" w:color="auto"/>
                                <w:bottom w:val="none" w:sz="0" w:space="0" w:color="auto"/>
                                <w:right w:val="none" w:sz="0" w:space="0" w:color="auto"/>
                              </w:divBdr>
                            </w:div>
                            <w:div w:id="3186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35649">
      <w:bodyDiv w:val="1"/>
      <w:marLeft w:val="0"/>
      <w:marRight w:val="0"/>
      <w:marTop w:val="0"/>
      <w:marBottom w:val="0"/>
      <w:divBdr>
        <w:top w:val="none" w:sz="0" w:space="0" w:color="auto"/>
        <w:left w:val="none" w:sz="0" w:space="0" w:color="auto"/>
        <w:bottom w:val="none" w:sz="0" w:space="0" w:color="auto"/>
        <w:right w:val="none" w:sz="0" w:space="0" w:color="auto"/>
      </w:divBdr>
    </w:div>
    <w:div w:id="20609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6c6adab3-ec53-49bd-8c79-7082f1409bcf">
      <UserInfo>
        <DisplayName>François Brikké</DisplayName>
        <AccountId>31</AccountId>
        <AccountType/>
      </UserInfo>
      <UserInfo>
        <DisplayName>Ania Grobicki</DisplayName>
        <AccountId>50</AccountId>
        <AccountType/>
      </UserInfo>
      <UserInfo>
        <DisplayName>Siri Saeed</DisplayName>
        <AccountId>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2F7CB8441D25478522CD8E8D75CAD7" ma:contentTypeVersion="2" ma:contentTypeDescription="Create a new document." ma:contentTypeScope="" ma:versionID="eea7c46a01bbc8155166ebfe46e05359">
  <xsd:schema xmlns:xsd="http://www.w3.org/2001/XMLSchema" xmlns:xs="http://www.w3.org/2001/XMLSchema" xmlns:p="http://schemas.microsoft.com/office/2006/metadata/properties" xmlns:ns1="http://schemas.microsoft.com/sharepoint/v3" xmlns:ns2="6c6adab3-ec53-49bd-8c79-7082f1409bcf" targetNamespace="http://schemas.microsoft.com/office/2006/metadata/properties" ma:root="true" ma:fieldsID="3656f521970a08a3de67060dd46018a8" ns1:_="" ns2:_="">
    <xsd:import namespace="http://schemas.microsoft.com/sharepoint/v3"/>
    <xsd:import namespace="6c6adab3-ec53-49bd-8c79-7082f1409bcf"/>
    <xsd:element name="properties">
      <xsd:complexType>
        <xsd:sequence>
          <xsd:element name="documentManagement">
            <xsd:complexType>
              <xsd:all>
                <xsd:element ref="ns2: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adab3-ec53-49bd-8c79-7082f1409b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0AFF8-2EC0-4296-A330-49CC0DC8602C}">
  <ds:schemaRefs>
    <ds:schemaRef ds:uri="http://schemas.microsoft.com/sharepoint/v3/contenttype/forms"/>
  </ds:schemaRefs>
</ds:datastoreItem>
</file>

<file path=customXml/itemProps2.xml><?xml version="1.0" encoding="utf-8"?>
<ds:datastoreItem xmlns:ds="http://schemas.openxmlformats.org/officeDocument/2006/customXml" ds:itemID="{799E0F81-D0DE-490B-8D24-7F67B9299A4D}">
  <ds:schemaRefs>
    <ds:schemaRef ds:uri="http://purl.org/dc/elements/1.1/"/>
    <ds:schemaRef ds:uri="6c6adab3-ec53-49bd-8c79-7082f1409bcf"/>
    <ds:schemaRef ds:uri="http://schemas.microsoft.com/office/2006/metadata/properties"/>
    <ds:schemaRef ds:uri="http://schemas.microsoft.com/office/2006/documentManagement/types"/>
    <ds:schemaRef ds:uri="http://www.w3.org/XML/1998/namespace"/>
    <ds:schemaRef ds:uri="http://purl.org/dc/dcmitype/"/>
    <ds:schemaRef ds:uri="http://schemas.microsoft.com/sharepoint/v3"/>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BE8FBD4-B98D-4E68-AB85-B3A05D24A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6adab3-ec53-49bd-8c79-7082f1409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7E9F0-1923-4400-9A43-601F956B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4176</Words>
  <Characters>22135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André</dc:creator>
  <cp:lastModifiedBy>Susanne André</cp:lastModifiedBy>
  <cp:revision>5</cp:revision>
  <cp:lastPrinted>2014-05-14T08:18:00Z</cp:lastPrinted>
  <dcterms:created xsi:type="dcterms:W3CDTF">2014-06-04T10:40:00Z</dcterms:created>
  <dcterms:modified xsi:type="dcterms:W3CDTF">2014-06-05T09:52:00Z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0x010100342F7CB8441D25478522CD8E8D75CAD7</vt:lpwstr>
  </property>
</Properties>
</file>