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6E0441EE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F135F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1096CBB7" w14:textId="081A3B13" w:rsidR="00206114" w:rsidRPr="00206114" w:rsidRDefault="0052691E" w:rsidP="00206114">
      <w:pPr>
        <w:rPr>
          <w:rFonts w:ascii="Calibri" w:hAnsi="Calibri" w:cs="Calibri"/>
          <w:b/>
          <w:bCs/>
          <w:lang w:val="en-US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206114" w:rsidRPr="00206114">
        <w:rPr>
          <w:rFonts w:ascii="Calibri" w:hAnsi="Calibri" w:cs="Calibri"/>
          <w:b/>
          <w:bCs/>
          <w:lang w:val="en-US"/>
        </w:rPr>
        <w:t xml:space="preserve">for </w:t>
      </w:r>
      <w:r w:rsidR="00696AB7" w:rsidRPr="00696AB7">
        <w:rPr>
          <w:rFonts w:ascii="Calibri" w:hAnsi="Calibri" w:cs="Calibri"/>
          <w:b/>
          <w:bCs/>
          <w:i/>
          <w:iCs/>
          <w:lang w:val="en-GB"/>
        </w:rPr>
        <w:t>Climate change scenarios of streamflow change for the Drina Basin</w:t>
      </w:r>
    </w:p>
    <w:p w14:paraId="6DC38566" w14:textId="0411EEFF" w:rsidR="0052691E" w:rsidRPr="00206114" w:rsidRDefault="0052691E" w:rsidP="0052691E">
      <w:pPr>
        <w:rPr>
          <w:rFonts w:ascii="Calibri" w:hAnsi="Calibri" w:cs="Calibri"/>
          <w:lang w:val="en-US"/>
        </w:rPr>
      </w:pP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Is the economic operator in the UNPD List 1267.1989 or UN Ineligibility List?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consent to MIO-ECSDE gaining access to the end clients of projects indicating technical ability, professional </w:t>
      </w:r>
      <w:proofErr w:type="gramStart"/>
      <w:r w:rsidRPr="00F0458F">
        <w:rPr>
          <w:rFonts w:ascii="Calibri" w:hAnsi="Calibri"/>
          <w:i/>
          <w:lang w:val="en-GB"/>
        </w:rPr>
        <w:t>ability</w:t>
      </w:r>
      <w:proofErr w:type="gramEnd"/>
      <w:r w:rsidRPr="00F0458F">
        <w:rPr>
          <w:rFonts w:ascii="Calibri" w:hAnsi="Calibri"/>
          <w:i/>
          <w:lang w:val="en-GB"/>
        </w:rPr>
        <w:t xml:space="preserve">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483D" w14:textId="77777777" w:rsidR="0086391F" w:rsidRDefault="0086391F" w:rsidP="0052691E">
      <w:r>
        <w:separator/>
      </w:r>
    </w:p>
  </w:endnote>
  <w:endnote w:type="continuationSeparator" w:id="0">
    <w:p w14:paraId="31E4108F" w14:textId="77777777" w:rsidR="0086391F" w:rsidRDefault="0086391F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AD4F" w14:textId="77777777" w:rsidR="0086391F" w:rsidRDefault="0086391F" w:rsidP="0052691E">
      <w:r>
        <w:separator/>
      </w:r>
    </w:p>
  </w:footnote>
  <w:footnote w:type="continuationSeparator" w:id="0">
    <w:p w14:paraId="3AE310F6" w14:textId="77777777" w:rsidR="0086391F" w:rsidRDefault="0086391F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206114"/>
    <w:rsid w:val="003921B4"/>
    <w:rsid w:val="0052691E"/>
    <w:rsid w:val="00620410"/>
    <w:rsid w:val="00643C4C"/>
    <w:rsid w:val="00656771"/>
    <w:rsid w:val="00696AB7"/>
    <w:rsid w:val="00783A35"/>
    <w:rsid w:val="0086391F"/>
    <w:rsid w:val="009D574B"/>
    <w:rsid w:val="00CD4750"/>
    <w:rsid w:val="00E404F3"/>
    <w:rsid w:val="00F135FB"/>
    <w:rsid w:val="00F4720B"/>
    <w:rsid w:val="00F955DF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883FA-68D6-49B0-9307-1C732FAFB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38012-8AF0-4847-9CC7-C72691120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EAC17-A3B6-42EC-8F19-F6F7D91A25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5</cp:revision>
  <dcterms:created xsi:type="dcterms:W3CDTF">2020-11-17T09:48:00Z</dcterms:created>
  <dcterms:modified xsi:type="dcterms:W3CDTF">2021-06-03T14:07:00Z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