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04AEAA21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65173">
        <w:rPr>
          <w:rFonts w:ascii="Calibri" w:hAnsi="Calibri" w:cs="Calibri"/>
          <w:lang w:val="en-GB"/>
        </w:rPr>
        <w:t>49/2021/ADA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4104" w14:textId="77777777" w:rsidR="00506110" w:rsidRDefault="00506110" w:rsidP="0052691E">
      <w:r>
        <w:separator/>
      </w:r>
    </w:p>
  </w:endnote>
  <w:endnote w:type="continuationSeparator" w:id="0">
    <w:p w14:paraId="56614AA1" w14:textId="77777777" w:rsidR="00506110" w:rsidRDefault="0050611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1225" w14:textId="77777777" w:rsidR="00506110" w:rsidRDefault="00506110" w:rsidP="0052691E">
      <w:r>
        <w:separator/>
      </w:r>
    </w:p>
  </w:footnote>
  <w:footnote w:type="continuationSeparator" w:id="0">
    <w:p w14:paraId="12C3A809" w14:textId="77777777" w:rsidR="00506110" w:rsidRDefault="0050611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56C68"/>
    <w:rsid w:val="00F774ED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43872-9595-4788-BFDA-5AC997E89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2021-12-03T07:57:00Z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