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3EF" w14:textId="77777777" w:rsidR="00390170" w:rsidRDefault="00390170" w:rsidP="00DD1804">
      <w:pPr>
        <w:pStyle w:val="1"/>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0DB31EA0" w:rsidR="00160B71" w:rsidRPr="00D74D84" w:rsidRDefault="00160B71" w:rsidP="00160B71">
      <w:pPr>
        <w:jc w:val="both"/>
        <w:rPr>
          <w:rFonts w:ascii="Calibri" w:hAnsi="Calibri" w:cs="Calibri"/>
        </w:rPr>
      </w:pPr>
      <w:r w:rsidRPr="00AE402C">
        <w:rPr>
          <w:rFonts w:ascii="Calibri" w:hAnsi="Calibri" w:cs="Calibri"/>
        </w:rPr>
        <w:t xml:space="preserve">Quotation Ref: </w:t>
      </w:r>
      <w:r w:rsidR="00897654" w:rsidRPr="00A6536D">
        <w:t>32/2022/Zero Drop</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68783C">
              <w:rPr>
                <w:rStyle w:val="normaltextrun"/>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AE402C" w:rsidRDefault="00160B71" w:rsidP="00160B71">
      <w:pPr>
        <w:jc w:val="both"/>
        <w:rPr>
          <w:rFonts w:ascii="Calibri" w:hAnsi="Calibri" w:cs="Calibri"/>
        </w:rPr>
      </w:pPr>
      <w:r w:rsidRPr="00AE402C">
        <w:rPr>
          <w:rFonts w:ascii="Calibri" w:hAnsi="Calibri" w:cs="Calibri"/>
        </w:rPr>
        <w:t>Schedule of Rates:</w:t>
      </w:r>
    </w:p>
    <w:p w14:paraId="5906C57D" w14:textId="77777777" w:rsidR="00DD1804" w:rsidRPr="00AE402C" w:rsidRDefault="00DD1804" w:rsidP="00160B71">
      <w:pPr>
        <w:jc w:val="both"/>
        <w:rPr>
          <w:rFonts w:ascii="Calibri" w:hAnsi="Calibri" w:cs="Calibri"/>
        </w:rPr>
      </w:pPr>
    </w:p>
    <w:p w14:paraId="5C1FC5E3" w14:textId="098D5251"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Rates and Total price of each item is to be quoted in </w:t>
      </w:r>
      <w:r w:rsidRPr="00126C73">
        <w:rPr>
          <w:rStyle w:val="normaltextrun"/>
          <w:rFonts w:ascii="Calibri" w:hAnsi="Calibri" w:cs="Calibri"/>
          <w:b/>
          <w:bCs/>
          <w:color w:val="000000"/>
          <w:sz w:val="22"/>
          <w:szCs w:val="22"/>
          <w:shd w:val="clear" w:color="auto" w:fill="FFFFFF"/>
        </w:rPr>
        <w:t>Euros</w:t>
      </w:r>
      <w:r w:rsidRPr="00AE402C">
        <w:rPr>
          <w:rStyle w:val="normaltextrun"/>
          <w:rFonts w:ascii="Calibri" w:hAnsi="Calibri" w:cs="Calibri"/>
          <w:color w:val="000000"/>
          <w:sz w:val="22"/>
          <w:szCs w:val="22"/>
          <w:shd w:val="clear" w:color="auto" w:fill="FFFFFF"/>
        </w:rPr>
        <w:t> </w:t>
      </w:r>
      <w:r w:rsidRPr="00AE402C">
        <w:rPr>
          <w:rStyle w:val="normaltextrun"/>
          <w:rFonts w:ascii="Calibri" w:hAnsi="Calibri" w:cs="Calibri"/>
          <w:b/>
          <w:bCs/>
          <w:color w:val="000000"/>
          <w:sz w:val="22"/>
          <w:szCs w:val="22"/>
          <w:u w:val="single"/>
          <w:shd w:val="clear" w:color="auto" w:fill="FFFFFF"/>
        </w:rPr>
        <w:t>Including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p w14:paraId="16EF1138" w14:textId="1B674967" w:rsidR="00160B71" w:rsidRDefault="00160B71" w:rsidP="00160B71">
      <w:pPr>
        <w:jc w:val="both"/>
        <w:rPr>
          <w:rFonts w:ascii="Calibri" w:hAnsi="Calibri" w:cs="Calibri"/>
        </w:rPr>
      </w:pPr>
    </w:p>
    <w:tbl>
      <w:tblPr>
        <w:tblStyle w:val="aa"/>
        <w:tblW w:w="9355" w:type="dxa"/>
        <w:jc w:val="center"/>
        <w:tblLook w:val="04A0" w:firstRow="1" w:lastRow="0" w:firstColumn="1" w:lastColumn="0" w:noHBand="0" w:noVBand="1"/>
      </w:tblPr>
      <w:tblGrid>
        <w:gridCol w:w="805"/>
        <w:gridCol w:w="3694"/>
        <w:gridCol w:w="1223"/>
        <w:gridCol w:w="1383"/>
        <w:gridCol w:w="1080"/>
        <w:gridCol w:w="1170"/>
      </w:tblGrid>
      <w:tr w:rsidR="00E41EEC" w:rsidRPr="00E41EEC" w14:paraId="4DD0512B" w14:textId="2DBBF11F" w:rsidTr="00E41EEC">
        <w:trPr>
          <w:jc w:val="center"/>
        </w:trPr>
        <w:tc>
          <w:tcPr>
            <w:tcW w:w="805" w:type="dxa"/>
            <w:shd w:val="clear" w:color="auto" w:fill="auto"/>
          </w:tcPr>
          <w:p w14:paraId="03E602C3" w14:textId="77777777" w:rsidR="00E41EEC" w:rsidRPr="00E41EEC" w:rsidRDefault="00E41EEC"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t>A/A</w:t>
            </w:r>
          </w:p>
        </w:tc>
        <w:tc>
          <w:tcPr>
            <w:tcW w:w="3694" w:type="dxa"/>
            <w:shd w:val="clear" w:color="auto" w:fill="auto"/>
          </w:tcPr>
          <w:p w14:paraId="2A04B59A" w14:textId="77777777" w:rsidR="00E41EEC" w:rsidRPr="00E41EEC" w:rsidRDefault="00E41EEC"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t>Service / Task</w:t>
            </w:r>
          </w:p>
        </w:tc>
        <w:tc>
          <w:tcPr>
            <w:tcW w:w="1223" w:type="dxa"/>
            <w:shd w:val="clear" w:color="auto" w:fill="auto"/>
          </w:tcPr>
          <w:p w14:paraId="11B7A8B8" w14:textId="77777777" w:rsidR="00E41EEC" w:rsidRPr="00E41EEC" w:rsidRDefault="00E41EEC"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t>Quantity</w:t>
            </w:r>
          </w:p>
        </w:tc>
        <w:tc>
          <w:tcPr>
            <w:tcW w:w="1383" w:type="dxa"/>
          </w:tcPr>
          <w:p w14:paraId="7DD5944A" w14:textId="50BA85AF" w:rsidR="00E41EEC" w:rsidRPr="00E41EEC" w:rsidRDefault="00E41EEC" w:rsidP="00E41EEC">
            <w:pPr>
              <w:rPr>
                <w:rFonts w:asciiTheme="minorHAnsi" w:eastAsiaTheme="minorHAnsi" w:hAnsiTheme="minorHAnsi" w:cstheme="minorBidi"/>
                <w:b/>
                <w:bCs/>
                <w:szCs w:val="20"/>
              </w:rPr>
            </w:pPr>
            <w:r>
              <w:rPr>
                <w:rFonts w:asciiTheme="minorHAnsi" w:eastAsiaTheme="minorHAnsi" w:hAnsiTheme="minorHAnsi" w:cstheme="minorBidi"/>
                <w:b/>
                <w:bCs/>
                <w:szCs w:val="20"/>
              </w:rPr>
              <w:t>Unit Price (</w:t>
            </w:r>
            <w:r>
              <w:rPr>
                <w:rFonts w:asciiTheme="minorHAnsi" w:eastAsiaTheme="minorHAnsi" w:hAnsiTheme="minorHAnsi" w:cstheme="minorHAnsi"/>
                <w:b/>
                <w:bCs/>
                <w:szCs w:val="20"/>
              </w:rPr>
              <w:t>€</w:t>
            </w:r>
            <w:r>
              <w:rPr>
                <w:rFonts w:asciiTheme="minorHAnsi" w:eastAsiaTheme="minorHAnsi" w:hAnsiTheme="minorHAnsi" w:cstheme="minorBidi"/>
                <w:b/>
                <w:bCs/>
                <w:szCs w:val="20"/>
              </w:rPr>
              <w:t>)</w:t>
            </w:r>
          </w:p>
        </w:tc>
        <w:tc>
          <w:tcPr>
            <w:tcW w:w="1080" w:type="dxa"/>
          </w:tcPr>
          <w:p w14:paraId="01FFC4A6" w14:textId="70F0298A" w:rsidR="00E41EEC" w:rsidRPr="00E41EEC" w:rsidRDefault="00E41EEC" w:rsidP="00E41EEC">
            <w:pPr>
              <w:rPr>
                <w:rFonts w:asciiTheme="minorHAnsi" w:eastAsiaTheme="minorHAnsi" w:hAnsiTheme="minorHAnsi" w:cstheme="minorBidi"/>
                <w:b/>
                <w:bCs/>
                <w:szCs w:val="20"/>
              </w:rPr>
            </w:pPr>
            <w:r>
              <w:rPr>
                <w:rFonts w:asciiTheme="minorHAnsi" w:eastAsiaTheme="minorHAnsi" w:hAnsiTheme="minorHAnsi" w:cstheme="minorBidi"/>
                <w:b/>
                <w:bCs/>
                <w:szCs w:val="20"/>
              </w:rPr>
              <w:t>VAT (</w:t>
            </w:r>
            <w:r>
              <w:rPr>
                <w:rFonts w:asciiTheme="minorHAnsi" w:eastAsiaTheme="minorHAnsi" w:hAnsiTheme="minorHAnsi" w:cstheme="minorHAnsi"/>
                <w:b/>
                <w:bCs/>
                <w:szCs w:val="20"/>
              </w:rPr>
              <w:t>€</w:t>
            </w:r>
            <w:r>
              <w:rPr>
                <w:rFonts w:asciiTheme="minorHAnsi" w:eastAsiaTheme="minorHAnsi" w:hAnsiTheme="minorHAnsi" w:cstheme="minorBidi"/>
                <w:b/>
                <w:bCs/>
                <w:szCs w:val="20"/>
              </w:rPr>
              <w:t>)</w:t>
            </w:r>
          </w:p>
        </w:tc>
        <w:tc>
          <w:tcPr>
            <w:tcW w:w="1170" w:type="dxa"/>
          </w:tcPr>
          <w:p w14:paraId="1E1E0955" w14:textId="725A05A5" w:rsidR="00E41EEC" w:rsidRPr="00E41EEC" w:rsidRDefault="00E41EEC" w:rsidP="00E41EEC">
            <w:pPr>
              <w:rPr>
                <w:rFonts w:asciiTheme="minorHAnsi" w:eastAsiaTheme="minorHAnsi" w:hAnsiTheme="minorHAnsi" w:cstheme="minorBidi"/>
                <w:b/>
                <w:bCs/>
                <w:szCs w:val="20"/>
              </w:rPr>
            </w:pPr>
            <w:r>
              <w:rPr>
                <w:rFonts w:asciiTheme="minorHAnsi" w:eastAsiaTheme="minorHAnsi" w:hAnsiTheme="minorHAnsi" w:cstheme="minorBidi"/>
                <w:b/>
                <w:bCs/>
                <w:szCs w:val="20"/>
              </w:rPr>
              <w:t>Total (</w:t>
            </w:r>
            <w:r>
              <w:rPr>
                <w:rFonts w:asciiTheme="minorHAnsi" w:eastAsiaTheme="minorHAnsi" w:hAnsiTheme="minorHAnsi" w:cstheme="minorHAnsi"/>
                <w:b/>
                <w:bCs/>
                <w:szCs w:val="20"/>
              </w:rPr>
              <w:t>€</w:t>
            </w:r>
            <w:r>
              <w:rPr>
                <w:rFonts w:asciiTheme="minorHAnsi" w:eastAsiaTheme="minorHAnsi" w:hAnsiTheme="minorHAnsi" w:cstheme="minorBidi"/>
                <w:b/>
                <w:bCs/>
                <w:szCs w:val="20"/>
              </w:rPr>
              <w:t>)</w:t>
            </w:r>
          </w:p>
        </w:tc>
      </w:tr>
      <w:tr w:rsidR="00E41EEC" w:rsidRPr="00E41EEC" w14:paraId="1FD64D1B" w14:textId="0158B7E8" w:rsidTr="0047346C">
        <w:trPr>
          <w:jc w:val="center"/>
        </w:trPr>
        <w:tc>
          <w:tcPr>
            <w:tcW w:w="9355" w:type="dxa"/>
            <w:gridSpan w:val="6"/>
            <w:shd w:val="clear" w:color="auto" w:fill="auto"/>
          </w:tcPr>
          <w:p w14:paraId="4393F155" w14:textId="54BD74F4" w:rsidR="00E41EEC" w:rsidRPr="00E41EEC" w:rsidRDefault="00E41EEC"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t>A. Connection of Well Pump</w:t>
            </w:r>
          </w:p>
        </w:tc>
      </w:tr>
      <w:tr w:rsidR="00E41EEC" w:rsidRPr="00E41EEC" w14:paraId="39AE3CCB" w14:textId="1D9E309C" w:rsidTr="00E41EEC">
        <w:trPr>
          <w:jc w:val="center"/>
        </w:trPr>
        <w:tc>
          <w:tcPr>
            <w:tcW w:w="805" w:type="dxa"/>
            <w:shd w:val="clear" w:color="auto" w:fill="auto"/>
            <w:vAlign w:val="center"/>
          </w:tcPr>
          <w:p w14:paraId="7B58BAE7"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A1</w:t>
            </w:r>
          </w:p>
        </w:tc>
        <w:tc>
          <w:tcPr>
            <w:tcW w:w="3694" w:type="dxa"/>
            <w:shd w:val="clear" w:color="auto" w:fill="auto"/>
          </w:tcPr>
          <w:p w14:paraId="160735AB"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Supply and installation of one (1) submersible three-phase, well pump of 38 - 40 m</w:t>
            </w:r>
            <w:r w:rsidRPr="00E41EEC">
              <w:rPr>
                <w:rFonts w:asciiTheme="minorHAnsi" w:eastAsiaTheme="minorHAnsi" w:hAnsiTheme="minorHAnsi" w:cstheme="minorBidi"/>
                <w:szCs w:val="20"/>
                <w:vertAlign w:val="superscript"/>
              </w:rPr>
              <w:t>3</w:t>
            </w:r>
            <w:r w:rsidRPr="00E41EEC">
              <w:rPr>
                <w:rFonts w:asciiTheme="minorHAnsi" w:eastAsiaTheme="minorHAnsi" w:hAnsiTheme="minorHAnsi" w:cstheme="minorBidi"/>
                <w:szCs w:val="20"/>
              </w:rPr>
              <w:t xml:space="preserve">/h at 50 - 55 m for borehole B1. </w:t>
            </w:r>
          </w:p>
          <w:p w14:paraId="2DA29D71" w14:textId="77777777" w:rsidR="00E41EEC" w:rsidRPr="00B85D50" w:rsidRDefault="00E41EEC" w:rsidP="00B85D50">
            <w:pPr>
              <w:pStyle w:val="ab"/>
              <w:numPr>
                <w:ilvl w:val="0"/>
                <w:numId w:val="2"/>
              </w:numPr>
              <w:rPr>
                <w:rFonts w:asciiTheme="minorHAnsi" w:eastAsiaTheme="minorHAnsi" w:hAnsiTheme="minorHAnsi" w:cstheme="minorBidi"/>
                <w:szCs w:val="20"/>
              </w:rPr>
            </w:pPr>
            <w:r w:rsidRPr="00B85D50">
              <w:rPr>
                <w:rFonts w:asciiTheme="minorHAnsi" w:eastAsiaTheme="minorHAnsi" w:hAnsiTheme="minorHAnsi" w:cstheme="minorBidi"/>
                <w:szCs w:val="20"/>
              </w:rPr>
              <w:t>It should be placed at the depth of 45 – 50 m in the borehole.</w:t>
            </w:r>
          </w:p>
          <w:p w14:paraId="61CBFD19" w14:textId="77777777" w:rsidR="00E41EEC" w:rsidRPr="00E41EEC" w:rsidRDefault="00E41EEC" w:rsidP="00E41EEC">
            <w:pPr>
              <w:numPr>
                <w:ilvl w:val="0"/>
                <w:numId w:val="2"/>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 xml:space="preserve">The pump materials should be able to withstand the corrosive nature of seawater. </w:t>
            </w:r>
          </w:p>
          <w:p w14:paraId="69B9A283" w14:textId="77777777" w:rsidR="00E41EEC" w:rsidRPr="00E41EEC" w:rsidRDefault="00E41EEC" w:rsidP="00E41EEC">
            <w:pPr>
              <w:numPr>
                <w:ilvl w:val="0"/>
                <w:numId w:val="2"/>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pump should include a water meter to count the volume of water it forwards towards the seawater desalination units.</w:t>
            </w:r>
          </w:p>
          <w:p w14:paraId="119C7427" w14:textId="77777777" w:rsidR="00E41EEC" w:rsidRPr="00E41EEC" w:rsidRDefault="00E41EEC" w:rsidP="00E41EEC">
            <w:pPr>
              <w:numPr>
                <w:ilvl w:val="0"/>
                <w:numId w:val="2"/>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pump should have an autonomous pillar type el. board which will be placed behind the Electric Company meters at the nearby housing unit (outdoors).</w:t>
            </w:r>
          </w:p>
          <w:p w14:paraId="3A20B99C" w14:textId="77777777" w:rsidR="00E41EEC" w:rsidRPr="00E41EEC" w:rsidRDefault="00E41EEC" w:rsidP="00E41EEC">
            <w:pPr>
              <w:numPr>
                <w:ilvl w:val="0"/>
                <w:numId w:val="2"/>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maximum distance between the well and the housing unit is 60 m.</w:t>
            </w:r>
          </w:p>
          <w:p w14:paraId="147D6D6A" w14:textId="77777777" w:rsidR="00E41EEC" w:rsidRPr="00E41EEC" w:rsidRDefault="00E41EEC" w:rsidP="00E41EEC">
            <w:pPr>
              <w:numPr>
                <w:ilvl w:val="0"/>
                <w:numId w:val="2"/>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Origin: USA, Europe</w:t>
            </w:r>
          </w:p>
        </w:tc>
        <w:tc>
          <w:tcPr>
            <w:tcW w:w="1223" w:type="dxa"/>
            <w:shd w:val="clear" w:color="auto" w:fill="auto"/>
            <w:vAlign w:val="center"/>
          </w:tcPr>
          <w:p w14:paraId="2ADB49E2" w14:textId="77777777" w:rsidR="00E41EEC" w:rsidRPr="00E41EEC" w:rsidRDefault="00E41EEC" w:rsidP="00E41EEC">
            <w:pPr>
              <w:jc w:val="center"/>
              <w:rPr>
                <w:rFonts w:asciiTheme="minorHAnsi" w:eastAsiaTheme="minorHAnsi" w:hAnsiTheme="minorHAnsi" w:cstheme="minorBidi"/>
                <w:szCs w:val="20"/>
                <w:lang w:val="el-GR"/>
              </w:rPr>
            </w:pPr>
            <w:r w:rsidRPr="00E41EEC">
              <w:rPr>
                <w:rFonts w:asciiTheme="minorHAnsi" w:eastAsiaTheme="minorHAnsi" w:hAnsiTheme="minorHAnsi" w:cstheme="minorBidi"/>
                <w:szCs w:val="20"/>
              </w:rPr>
              <w:t>Lump sum</w:t>
            </w:r>
          </w:p>
        </w:tc>
        <w:tc>
          <w:tcPr>
            <w:tcW w:w="1383" w:type="dxa"/>
            <w:vAlign w:val="center"/>
          </w:tcPr>
          <w:p w14:paraId="49D446FB" w14:textId="77777777" w:rsidR="00E41EEC" w:rsidRPr="00E41EEC" w:rsidRDefault="00E41EEC" w:rsidP="00E41EEC">
            <w:pPr>
              <w:jc w:val="center"/>
              <w:rPr>
                <w:rFonts w:asciiTheme="minorHAnsi" w:eastAsiaTheme="minorHAnsi" w:hAnsiTheme="minorHAnsi" w:cstheme="minorBidi"/>
                <w:szCs w:val="20"/>
              </w:rPr>
            </w:pPr>
          </w:p>
        </w:tc>
        <w:tc>
          <w:tcPr>
            <w:tcW w:w="1080" w:type="dxa"/>
            <w:vAlign w:val="center"/>
          </w:tcPr>
          <w:p w14:paraId="270BFDAA" w14:textId="77777777" w:rsidR="00E41EEC" w:rsidRPr="00E41EEC" w:rsidRDefault="00E41EEC" w:rsidP="00E41EEC">
            <w:pPr>
              <w:jc w:val="center"/>
              <w:rPr>
                <w:rFonts w:asciiTheme="minorHAnsi" w:eastAsiaTheme="minorHAnsi" w:hAnsiTheme="minorHAnsi" w:cstheme="minorBidi"/>
                <w:szCs w:val="20"/>
              </w:rPr>
            </w:pPr>
          </w:p>
        </w:tc>
        <w:tc>
          <w:tcPr>
            <w:tcW w:w="1170" w:type="dxa"/>
            <w:vAlign w:val="center"/>
          </w:tcPr>
          <w:p w14:paraId="58BB90BC" w14:textId="77777777" w:rsidR="00E41EEC" w:rsidRPr="00E41EEC" w:rsidRDefault="00E41EEC" w:rsidP="00E41EEC">
            <w:pPr>
              <w:jc w:val="center"/>
              <w:rPr>
                <w:rFonts w:asciiTheme="minorHAnsi" w:eastAsiaTheme="minorHAnsi" w:hAnsiTheme="minorHAnsi" w:cstheme="minorBidi"/>
                <w:szCs w:val="20"/>
              </w:rPr>
            </w:pPr>
          </w:p>
        </w:tc>
      </w:tr>
      <w:tr w:rsidR="00E41EEC" w:rsidRPr="00E41EEC" w14:paraId="5C0DE991" w14:textId="2EAC61C0" w:rsidTr="00E41EEC">
        <w:trPr>
          <w:jc w:val="center"/>
        </w:trPr>
        <w:tc>
          <w:tcPr>
            <w:tcW w:w="805" w:type="dxa"/>
            <w:shd w:val="clear" w:color="auto" w:fill="auto"/>
            <w:vAlign w:val="center"/>
          </w:tcPr>
          <w:p w14:paraId="6C5EFB7B"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A2</w:t>
            </w:r>
          </w:p>
        </w:tc>
        <w:tc>
          <w:tcPr>
            <w:tcW w:w="3694" w:type="dxa"/>
            <w:shd w:val="clear" w:color="auto" w:fill="auto"/>
          </w:tcPr>
          <w:p w14:paraId="12E27F51"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Electrical connection of the new well pump.</w:t>
            </w:r>
          </w:p>
          <w:p w14:paraId="163B13FB"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 xml:space="preserve">The autonomous pillar type el. board will: </w:t>
            </w:r>
          </w:p>
          <w:p w14:paraId="737A3795" w14:textId="77777777" w:rsidR="00E41EEC" w:rsidRPr="00E41EEC" w:rsidRDefault="00E41EEC" w:rsidP="00E41EEC">
            <w:pPr>
              <w:numPr>
                <w:ilvl w:val="0"/>
                <w:numId w:val="6"/>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Receive power from the existing el. board inside the housing unit.</w:t>
            </w:r>
          </w:p>
          <w:p w14:paraId="32B34032" w14:textId="77777777" w:rsidR="00E41EEC" w:rsidRPr="00E41EEC" w:rsidRDefault="00E41EEC" w:rsidP="00E41EEC">
            <w:pPr>
              <w:numPr>
                <w:ilvl w:val="0"/>
                <w:numId w:val="5"/>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 xml:space="preserve">Receive the high and low-level switch signals (for the operation of the </w:t>
            </w:r>
            <w:r w:rsidRPr="00E41EEC">
              <w:rPr>
                <w:rFonts w:asciiTheme="minorHAnsi" w:eastAsiaTheme="minorHAnsi" w:hAnsiTheme="minorHAnsi" w:cstheme="minorBidi"/>
                <w:szCs w:val="20"/>
              </w:rPr>
              <w:lastRenderedPageBreak/>
              <w:t>pump) from the existing el. board inside the housing unit. The signals come from the seawater tanks installed near the desalination units.</w:t>
            </w:r>
          </w:p>
        </w:tc>
        <w:tc>
          <w:tcPr>
            <w:tcW w:w="1223" w:type="dxa"/>
            <w:shd w:val="clear" w:color="auto" w:fill="auto"/>
            <w:vAlign w:val="center"/>
          </w:tcPr>
          <w:p w14:paraId="21B29BC0"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lastRenderedPageBreak/>
              <w:t>Lump sum</w:t>
            </w:r>
          </w:p>
        </w:tc>
        <w:tc>
          <w:tcPr>
            <w:tcW w:w="1383" w:type="dxa"/>
            <w:vAlign w:val="center"/>
          </w:tcPr>
          <w:p w14:paraId="620A1880" w14:textId="77777777" w:rsidR="00E41EEC" w:rsidRPr="00E41EEC" w:rsidRDefault="00E41EEC" w:rsidP="00E41EEC">
            <w:pPr>
              <w:jc w:val="center"/>
              <w:rPr>
                <w:rFonts w:asciiTheme="minorHAnsi" w:eastAsiaTheme="minorHAnsi" w:hAnsiTheme="minorHAnsi" w:cstheme="minorBidi"/>
                <w:szCs w:val="20"/>
              </w:rPr>
            </w:pPr>
          </w:p>
        </w:tc>
        <w:tc>
          <w:tcPr>
            <w:tcW w:w="1080" w:type="dxa"/>
            <w:vAlign w:val="center"/>
          </w:tcPr>
          <w:p w14:paraId="688145B5" w14:textId="77777777" w:rsidR="00E41EEC" w:rsidRPr="00E41EEC" w:rsidRDefault="00E41EEC" w:rsidP="00E41EEC">
            <w:pPr>
              <w:jc w:val="center"/>
              <w:rPr>
                <w:rFonts w:asciiTheme="minorHAnsi" w:eastAsiaTheme="minorHAnsi" w:hAnsiTheme="minorHAnsi" w:cstheme="minorBidi"/>
                <w:szCs w:val="20"/>
              </w:rPr>
            </w:pPr>
          </w:p>
        </w:tc>
        <w:tc>
          <w:tcPr>
            <w:tcW w:w="1170" w:type="dxa"/>
            <w:vAlign w:val="center"/>
          </w:tcPr>
          <w:p w14:paraId="262EDA58" w14:textId="77777777" w:rsidR="00E41EEC" w:rsidRPr="00E41EEC" w:rsidRDefault="00E41EEC" w:rsidP="00E41EEC">
            <w:pPr>
              <w:jc w:val="center"/>
              <w:rPr>
                <w:rFonts w:asciiTheme="minorHAnsi" w:eastAsiaTheme="minorHAnsi" w:hAnsiTheme="minorHAnsi" w:cstheme="minorBidi"/>
                <w:szCs w:val="20"/>
              </w:rPr>
            </w:pPr>
          </w:p>
        </w:tc>
      </w:tr>
      <w:tr w:rsidR="00E41EEC" w:rsidRPr="00E41EEC" w14:paraId="7B552488" w14:textId="6E7B2268" w:rsidTr="00E41EEC">
        <w:trPr>
          <w:jc w:val="center"/>
        </w:trPr>
        <w:tc>
          <w:tcPr>
            <w:tcW w:w="805" w:type="dxa"/>
            <w:shd w:val="clear" w:color="auto" w:fill="auto"/>
            <w:vAlign w:val="center"/>
          </w:tcPr>
          <w:p w14:paraId="1CC65132"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A3</w:t>
            </w:r>
          </w:p>
        </w:tc>
        <w:tc>
          <w:tcPr>
            <w:tcW w:w="3694" w:type="dxa"/>
            <w:shd w:val="clear" w:color="auto" w:fill="auto"/>
          </w:tcPr>
          <w:p w14:paraId="7F25A5C1"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Hydraulic connection of the new well pump to the seawater tanks.</w:t>
            </w:r>
          </w:p>
          <w:p w14:paraId="6254DEF6" w14:textId="77777777" w:rsidR="00E41EEC" w:rsidRPr="00E41EEC" w:rsidRDefault="00E41EEC" w:rsidP="00E41EEC">
            <w:pPr>
              <w:numPr>
                <w:ilvl w:val="0"/>
                <w:numId w:val="5"/>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lang w:val="el-GR"/>
              </w:rPr>
              <w:t>Φ</w:t>
            </w:r>
            <w:r w:rsidRPr="00E41EEC">
              <w:rPr>
                <w:rFonts w:asciiTheme="minorHAnsi" w:eastAsiaTheme="minorHAnsi" w:hAnsiTheme="minorHAnsi" w:cstheme="minorBidi"/>
                <w:szCs w:val="20"/>
              </w:rPr>
              <w:t xml:space="preserve">110, PN10, HDPE pipe should be used. </w:t>
            </w:r>
          </w:p>
          <w:p w14:paraId="6CFA7B53" w14:textId="170A5EA4" w:rsidR="00E41EEC" w:rsidRPr="00E41EEC" w:rsidRDefault="00E41EEC" w:rsidP="00E41EEC">
            <w:pPr>
              <w:numPr>
                <w:ilvl w:val="0"/>
                <w:numId w:val="3"/>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 xml:space="preserve">The maximum distance between the well and the seawater tanks is </w:t>
            </w:r>
            <w:r w:rsidR="00B85D50">
              <w:rPr>
                <w:rFonts w:asciiTheme="minorHAnsi" w:eastAsiaTheme="minorHAnsi" w:hAnsiTheme="minorHAnsi" w:cstheme="minorBidi"/>
                <w:szCs w:val="20"/>
              </w:rPr>
              <w:t>7</w:t>
            </w:r>
            <w:r w:rsidRPr="00E41EEC">
              <w:rPr>
                <w:rFonts w:asciiTheme="minorHAnsi" w:eastAsiaTheme="minorHAnsi" w:hAnsiTheme="minorHAnsi" w:cstheme="minorBidi"/>
                <w:szCs w:val="20"/>
              </w:rPr>
              <w:t>0 m.</w:t>
            </w:r>
          </w:p>
        </w:tc>
        <w:tc>
          <w:tcPr>
            <w:tcW w:w="1223" w:type="dxa"/>
            <w:shd w:val="clear" w:color="auto" w:fill="auto"/>
            <w:vAlign w:val="center"/>
          </w:tcPr>
          <w:p w14:paraId="605A17EF"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Lump sum</w:t>
            </w:r>
          </w:p>
        </w:tc>
        <w:tc>
          <w:tcPr>
            <w:tcW w:w="1383" w:type="dxa"/>
          </w:tcPr>
          <w:p w14:paraId="0C805C0F" w14:textId="77777777" w:rsidR="00E41EEC" w:rsidRPr="00E41EEC" w:rsidRDefault="00E41EEC" w:rsidP="00E41EEC">
            <w:pPr>
              <w:jc w:val="center"/>
              <w:rPr>
                <w:rFonts w:asciiTheme="minorHAnsi" w:eastAsiaTheme="minorHAnsi" w:hAnsiTheme="minorHAnsi" w:cstheme="minorBidi"/>
                <w:szCs w:val="20"/>
              </w:rPr>
            </w:pPr>
          </w:p>
        </w:tc>
        <w:tc>
          <w:tcPr>
            <w:tcW w:w="1080" w:type="dxa"/>
          </w:tcPr>
          <w:p w14:paraId="632E56F0" w14:textId="77777777" w:rsidR="00E41EEC" w:rsidRPr="00E41EEC" w:rsidRDefault="00E41EEC" w:rsidP="00E41EEC">
            <w:pPr>
              <w:jc w:val="center"/>
              <w:rPr>
                <w:rFonts w:asciiTheme="minorHAnsi" w:eastAsiaTheme="minorHAnsi" w:hAnsiTheme="minorHAnsi" w:cstheme="minorBidi"/>
                <w:szCs w:val="20"/>
              </w:rPr>
            </w:pPr>
          </w:p>
        </w:tc>
        <w:tc>
          <w:tcPr>
            <w:tcW w:w="1170" w:type="dxa"/>
          </w:tcPr>
          <w:p w14:paraId="04E3D1B7" w14:textId="77777777" w:rsidR="00E41EEC" w:rsidRPr="00E41EEC" w:rsidRDefault="00E41EEC" w:rsidP="00E41EEC">
            <w:pPr>
              <w:jc w:val="center"/>
              <w:rPr>
                <w:rFonts w:asciiTheme="minorHAnsi" w:eastAsiaTheme="minorHAnsi" w:hAnsiTheme="minorHAnsi" w:cstheme="minorBidi"/>
                <w:szCs w:val="20"/>
              </w:rPr>
            </w:pPr>
          </w:p>
        </w:tc>
      </w:tr>
      <w:tr w:rsidR="00E41EEC" w:rsidRPr="00E41EEC" w14:paraId="75ECEC73" w14:textId="32F11C8B" w:rsidTr="00127D4B">
        <w:trPr>
          <w:jc w:val="center"/>
        </w:trPr>
        <w:tc>
          <w:tcPr>
            <w:tcW w:w="9355" w:type="dxa"/>
            <w:gridSpan w:val="6"/>
            <w:shd w:val="clear" w:color="auto" w:fill="auto"/>
          </w:tcPr>
          <w:p w14:paraId="66E0C9C6" w14:textId="77777777" w:rsidR="00E41EEC" w:rsidRPr="00E41EEC" w:rsidRDefault="00E41EEC" w:rsidP="00E41EEC">
            <w:pPr>
              <w:rPr>
                <w:rFonts w:asciiTheme="minorHAnsi" w:eastAsiaTheme="minorHAnsi" w:hAnsiTheme="minorHAnsi" w:cstheme="minorBidi"/>
                <w:szCs w:val="20"/>
              </w:rPr>
            </w:pPr>
          </w:p>
        </w:tc>
      </w:tr>
      <w:tr w:rsidR="00E41EEC" w:rsidRPr="00E41EEC" w14:paraId="07ACC473" w14:textId="58A9A37E" w:rsidTr="004E332A">
        <w:trPr>
          <w:jc w:val="center"/>
        </w:trPr>
        <w:tc>
          <w:tcPr>
            <w:tcW w:w="9355" w:type="dxa"/>
            <w:gridSpan w:val="6"/>
            <w:shd w:val="clear" w:color="auto" w:fill="auto"/>
          </w:tcPr>
          <w:p w14:paraId="7EF20E8F" w14:textId="11C43DF2" w:rsidR="00E41EEC" w:rsidRPr="00E41EEC" w:rsidRDefault="00E41EEC"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t>B. Connection of the Brine Disposing Well</w:t>
            </w:r>
          </w:p>
        </w:tc>
      </w:tr>
      <w:tr w:rsidR="00E41EEC" w:rsidRPr="00E41EEC" w14:paraId="6ED00E91" w14:textId="27257278" w:rsidTr="00E41EEC">
        <w:trPr>
          <w:jc w:val="center"/>
        </w:trPr>
        <w:tc>
          <w:tcPr>
            <w:tcW w:w="805" w:type="dxa"/>
            <w:shd w:val="clear" w:color="auto" w:fill="auto"/>
            <w:vAlign w:val="center"/>
          </w:tcPr>
          <w:p w14:paraId="09F918FE"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B1</w:t>
            </w:r>
          </w:p>
        </w:tc>
        <w:tc>
          <w:tcPr>
            <w:tcW w:w="3694" w:type="dxa"/>
            <w:shd w:val="clear" w:color="auto" w:fill="auto"/>
          </w:tcPr>
          <w:p w14:paraId="34407801"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Hydraulic connection of the desalination units’ drainage to the new brine disposal wells.</w:t>
            </w:r>
          </w:p>
          <w:p w14:paraId="28488CE4" w14:textId="77777777" w:rsidR="00E41EEC" w:rsidRPr="00E41EEC" w:rsidRDefault="00E41EEC" w:rsidP="00E41EEC">
            <w:pPr>
              <w:numPr>
                <w:ilvl w:val="0"/>
                <w:numId w:val="5"/>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produced brine is collected in a manhole behind the 1</w:t>
            </w:r>
            <w:r w:rsidRPr="00E41EEC">
              <w:rPr>
                <w:rFonts w:asciiTheme="minorHAnsi" w:eastAsiaTheme="minorHAnsi" w:hAnsiTheme="minorHAnsi" w:cstheme="minorBidi"/>
                <w:szCs w:val="20"/>
                <w:vertAlign w:val="superscript"/>
              </w:rPr>
              <w:t>st</w:t>
            </w:r>
            <w:r w:rsidRPr="00E41EEC">
              <w:rPr>
                <w:rFonts w:asciiTheme="minorHAnsi" w:eastAsiaTheme="minorHAnsi" w:hAnsiTheme="minorHAnsi" w:cstheme="minorBidi"/>
                <w:szCs w:val="20"/>
              </w:rPr>
              <w:t xml:space="preserve"> desalination unit (nearest to the seawater tanks) and is forwarded to the existing boreholes via gravity.</w:t>
            </w:r>
          </w:p>
          <w:p w14:paraId="0251C818" w14:textId="77777777" w:rsidR="00E41EEC" w:rsidRPr="00E41EEC" w:rsidRDefault="00E41EEC" w:rsidP="00E41EEC">
            <w:pPr>
              <w:numPr>
                <w:ilvl w:val="0"/>
                <w:numId w:val="5"/>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lang w:val="el-GR"/>
              </w:rPr>
              <w:t>Φ</w:t>
            </w:r>
            <w:r w:rsidRPr="00E41EEC">
              <w:rPr>
                <w:rFonts w:asciiTheme="minorHAnsi" w:eastAsiaTheme="minorHAnsi" w:hAnsiTheme="minorHAnsi" w:cstheme="minorBidi"/>
                <w:szCs w:val="20"/>
              </w:rPr>
              <w:t xml:space="preserve">125, PN10, HDPE pipe should be used for the connection of the manhole to the new brine disposal boreholes.  </w:t>
            </w:r>
          </w:p>
          <w:p w14:paraId="1675FC37" w14:textId="623A31E9" w:rsidR="00E41EEC" w:rsidRPr="00E41EEC" w:rsidRDefault="00E41EEC" w:rsidP="00E41EEC">
            <w:pPr>
              <w:numPr>
                <w:ilvl w:val="0"/>
                <w:numId w:val="5"/>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distance between the brine disposal manhole and the new brine disposal boreholes is 1</w:t>
            </w:r>
            <w:r w:rsidR="00B85D50">
              <w:rPr>
                <w:rFonts w:asciiTheme="minorHAnsi" w:eastAsiaTheme="minorHAnsi" w:hAnsiTheme="minorHAnsi" w:cstheme="minorBidi"/>
                <w:szCs w:val="20"/>
              </w:rPr>
              <w:t>1</w:t>
            </w:r>
            <w:r w:rsidRPr="00E41EEC">
              <w:rPr>
                <w:rFonts w:asciiTheme="minorHAnsi" w:eastAsiaTheme="minorHAnsi" w:hAnsiTheme="minorHAnsi" w:cstheme="minorBidi"/>
                <w:szCs w:val="20"/>
              </w:rPr>
              <w:t>0 m.</w:t>
            </w:r>
          </w:p>
          <w:p w14:paraId="47598600" w14:textId="77777777" w:rsidR="00E41EEC" w:rsidRPr="00E41EEC" w:rsidRDefault="00E41EEC" w:rsidP="00E41EEC">
            <w:pPr>
              <w:numPr>
                <w:ilvl w:val="0"/>
                <w:numId w:val="5"/>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new piping should exploit gravity as well.</w:t>
            </w:r>
          </w:p>
        </w:tc>
        <w:tc>
          <w:tcPr>
            <w:tcW w:w="1223" w:type="dxa"/>
            <w:shd w:val="clear" w:color="auto" w:fill="auto"/>
            <w:vAlign w:val="center"/>
          </w:tcPr>
          <w:p w14:paraId="50768B6F"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Lump sum</w:t>
            </w:r>
          </w:p>
        </w:tc>
        <w:tc>
          <w:tcPr>
            <w:tcW w:w="1383" w:type="dxa"/>
            <w:vAlign w:val="center"/>
          </w:tcPr>
          <w:p w14:paraId="52DEC001" w14:textId="77777777" w:rsidR="00E41EEC" w:rsidRPr="00E41EEC" w:rsidRDefault="00E41EEC" w:rsidP="00E41EEC">
            <w:pPr>
              <w:rPr>
                <w:rFonts w:asciiTheme="minorHAnsi" w:eastAsiaTheme="minorHAnsi" w:hAnsiTheme="minorHAnsi" w:cstheme="minorBidi"/>
                <w:szCs w:val="20"/>
              </w:rPr>
            </w:pPr>
          </w:p>
        </w:tc>
        <w:tc>
          <w:tcPr>
            <w:tcW w:w="1080" w:type="dxa"/>
            <w:vAlign w:val="center"/>
          </w:tcPr>
          <w:p w14:paraId="480E2663" w14:textId="77777777" w:rsidR="00E41EEC" w:rsidRPr="00E41EEC" w:rsidRDefault="00E41EEC" w:rsidP="00E41EEC">
            <w:pPr>
              <w:rPr>
                <w:rFonts w:asciiTheme="minorHAnsi" w:eastAsiaTheme="minorHAnsi" w:hAnsiTheme="minorHAnsi" w:cstheme="minorBidi"/>
                <w:szCs w:val="20"/>
              </w:rPr>
            </w:pPr>
          </w:p>
        </w:tc>
        <w:tc>
          <w:tcPr>
            <w:tcW w:w="1170" w:type="dxa"/>
            <w:vAlign w:val="center"/>
          </w:tcPr>
          <w:p w14:paraId="62A53C6F" w14:textId="77777777" w:rsidR="00E41EEC" w:rsidRPr="00E41EEC" w:rsidRDefault="00E41EEC" w:rsidP="00E41EEC">
            <w:pPr>
              <w:rPr>
                <w:rFonts w:asciiTheme="minorHAnsi" w:eastAsiaTheme="minorHAnsi" w:hAnsiTheme="minorHAnsi" w:cstheme="minorBidi"/>
                <w:szCs w:val="20"/>
              </w:rPr>
            </w:pPr>
          </w:p>
        </w:tc>
      </w:tr>
      <w:tr w:rsidR="00E41EEC" w:rsidRPr="00E41EEC" w14:paraId="27C3F3D8" w14:textId="780C5C2A" w:rsidTr="00E41EEC">
        <w:trPr>
          <w:jc w:val="center"/>
        </w:trPr>
        <w:tc>
          <w:tcPr>
            <w:tcW w:w="805" w:type="dxa"/>
            <w:shd w:val="clear" w:color="auto" w:fill="auto"/>
            <w:vAlign w:val="center"/>
          </w:tcPr>
          <w:p w14:paraId="3ECBCA6F"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B2</w:t>
            </w:r>
          </w:p>
        </w:tc>
        <w:tc>
          <w:tcPr>
            <w:tcW w:w="3694" w:type="dxa"/>
            <w:shd w:val="clear" w:color="auto" w:fill="auto"/>
          </w:tcPr>
          <w:p w14:paraId="2B21E49C"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Road passing:</w:t>
            </w:r>
          </w:p>
          <w:p w14:paraId="4E4BF7CF" w14:textId="77777777" w:rsidR="00E41EEC" w:rsidRPr="00E41EEC" w:rsidRDefault="00E41EEC" w:rsidP="00E41EEC">
            <w:pPr>
              <w:numPr>
                <w:ilvl w:val="0"/>
                <w:numId w:val="8"/>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For the HDPE pipe to reach the brine disposal boreholes, it will have to pass below a 7 m wide road that connects the port to Chora.</w:t>
            </w:r>
          </w:p>
          <w:p w14:paraId="536E9072" w14:textId="77777777" w:rsidR="00E41EEC" w:rsidRPr="00E41EEC" w:rsidRDefault="00E41EEC" w:rsidP="00E41EEC">
            <w:pPr>
              <w:numPr>
                <w:ilvl w:val="0"/>
                <w:numId w:val="8"/>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Since this is the only road that connects the port to Chora, it must be restored after the passing of the pipe.</w:t>
            </w:r>
          </w:p>
          <w:p w14:paraId="53A853DC" w14:textId="77777777" w:rsidR="00E41EEC" w:rsidRPr="00E41EEC" w:rsidRDefault="00E41EEC" w:rsidP="00E41EEC">
            <w:pPr>
              <w:numPr>
                <w:ilvl w:val="0"/>
                <w:numId w:val="8"/>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Additionally, the road traffic should not be compromised until the restoration of the road (e.g. by using metal ramps / covers).</w:t>
            </w:r>
          </w:p>
        </w:tc>
        <w:tc>
          <w:tcPr>
            <w:tcW w:w="1223" w:type="dxa"/>
            <w:shd w:val="clear" w:color="auto" w:fill="auto"/>
            <w:vAlign w:val="center"/>
          </w:tcPr>
          <w:p w14:paraId="7BA5EEB8"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Lump sum</w:t>
            </w:r>
          </w:p>
        </w:tc>
        <w:tc>
          <w:tcPr>
            <w:tcW w:w="1383" w:type="dxa"/>
            <w:vAlign w:val="center"/>
          </w:tcPr>
          <w:p w14:paraId="21781C4E" w14:textId="77777777" w:rsidR="00E41EEC" w:rsidRPr="00E41EEC" w:rsidRDefault="00E41EEC" w:rsidP="00E41EEC">
            <w:pPr>
              <w:rPr>
                <w:rFonts w:asciiTheme="minorHAnsi" w:eastAsiaTheme="minorHAnsi" w:hAnsiTheme="minorHAnsi" w:cstheme="minorBidi"/>
                <w:szCs w:val="20"/>
              </w:rPr>
            </w:pPr>
          </w:p>
        </w:tc>
        <w:tc>
          <w:tcPr>
            <w:tcW w:w="1080" w:type="dxa"/>
            <w:vAlign w:val="center"/>
          </w:tcPr>
          <w:p w14:paraId="7132A46D" w14:textId="77777777" w:rsidR="00E41EEC" w:rsidRPr="00E41EEC" w:rsidRDefault="00E41EEC" w:rsidP="00E41EEC">
            <w:pPr>
              <w:rPr>
                <w:rFonts w:asciiTheme="minorHAnsi" w:eastAsiaTheme="minorHAnsi" w:hAnsiTheme="minorHAnsi" w:cstheme="minorBidi"/>
                <w:szCs w:val="20"/>
              </w:rPr>
            </w:pPr>
          </w:p>
        </w:tc>
        <w:tc>
          <w:tcPr>
            <w:tcW w:w="1170" w:type="dxa"/>
            <w:vAlign w:val="center"/>
          </w:tcPr>
          <w:p w14:paraId="0D38C267" w14:textId="77777777" w:rsidR="00E41EEC" w:rsidRPr="00E41EEC" w:rsidRDefault="00E41EEC" w:rsidP="00E41EEC">
            <w:pPr>
              <w:rPr>
                <w:rFonts w:asciiTheme="minorHAnsi" w:eastAsiaTheme="minorHAnsi" w:hAnsiTheme="minorHAnsi" w:cstheme="minorBidi"/>
                <w:szCs w:val="20"/>
              </w:rPr>
            </w:pPr>
          </w:p>
        </w:tc>
      </w:tr>
      <w:tr w:rsidR="00E41EEC" w:rsidRPr="00E41EEC" w14:paraId="4D992E97" w14:textId="5586A8BB" w:rsidTr="00E41EEC">
        <w:trPr>
          <w:jc w:val="center"/>
        </w:trPr>
        <w:tc>
          <w:tcPr>
            <w:tcW w:w="805" w:type="dxa"/>
            <w:shd w:val="clear" w:color="auto" w:fill="auto"/>
            <w:vAlign w:val="center"/>
          </w:tcPr>
          <w:p w14:paraId="236E67A2"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B3</w:t>
            </w:r>
          </w:p>
        </w:tc>
        <w:tc>
          <w:tcPr>
            <w:tcW w:w="3694" w:type="dxa"/>
            <w:shd w:val="clear" w:color="auto" w:fill="auto"/>
          </w:tcPr>
          <w:p w14:paraId="5D8A743D"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 xml:space="preserve">Construction of a manhole of 1.00 m x 1.00 m x 1.00 m for the receipt of the brine from the HDPE </w:t>
            </w:r>
            <w:r w:rsidRPr="00E41EEC">
              <w:rPr>
                <w:rFonts w:asciiTheme="minorHAnsi" w:eastAsiaTheme="minorHAnsi" w:hAnsiTheme="minorHAnsi" w:cstheme="minorBidi"/>
                <w:szCs w:val="20"/>
                <w:lang w:val="el-GR"/>
              </w:rPr>
              <w:t>Φ</w:t>
            </w:r>
            <w:r w:rsidRPr="00E41EEC">
              <w:rPr>
                <w:rFonts w:asciiTheme="minorHAnsi" w:eastAsiaTheme="minorHAnsi" w:hAnsiTheme="minorHAnsi" w:cstheme="minorBidi"/>
                <w:szCs w:val="20"/>
              </w:rPr>
              <w:t>125 piping and the allocation of the brine to the new brine disposal wells.</w:t>
            </w:r>
          </w:p>
          <w:p w14:paraId="239A1F74" w14:textId="77777777" w:rsidR="00E41EEC" w:rsidRPr="00E41EEC" w:rsidRDefault="00E41EEC" w:rsidP="00E41EEC">
            <w:pPr>
              <w:numPr>
                <w:ilvl w:val="0"/>
                <w:numId w:val="7"/>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Piping with the same features should be used for the allocation of the brine.</w:t>
            </w:r>
          </w:p>
        </w:tc>
        <w:tc>
          <w:tcPr>
            <w:tcW w:w="1223" w:type="dxa"/>
            <w:shd w:val="clear" w:color="auto" w:fill="auto"/>
            <w:vAlign w:val="center"/>
          </w:tcPr>
          <w:p w14:paraId="6AB57011"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Lump sum</w:t>
            </w:r>
          </w:p>
        </w:tc>
        <w:tc>
          <w:tcPr>
            <w:tcW w:w="1383" w:type="dxa"/>
            <w:vAlign w:val="center"/>
          </w:tcPr>
          <w:p w14:paraId="6E263D05" w14:textId="77777777" w:rsidR="00E41EEC" w:rsidRPr="00E41EEC" w:rsidRDefault="00E41EEC" w:rsidP="00E41EEC">
            <w:pPr>
              <w:rPr>
                <w:rFonts w:asciiTheme="minorHAnsi" w:eastAsiaTheme="minorHAnsi" w:hAnsiTheme="minorHAnsi" w:cstheme="minorBidi"/>
                <w:szCs w:val="20"/>
              </w:rPr>
            </w:pPr>
          </w:p>
        </w:tc>
        <w:tc>
          <w:tcPr>
            <w:tcW w:w="1080" w:type="dxa"/>
            <w:vAlign w:val="center"/>
          </w:tcPr>
          <w:p w14:paraId="6C48B1AC" w14:textId="77777777" w:rsidR="00E41EEC" w:rsidRPr="00E41EEC" w:rsidRDefault="00E41EEC" w:rsidP="00E41EEC">
            <w:pPr>
              <w:rPr>
                <w:rFonts w:asciiTheme="minorHAnsi" w:eastAsiaTheme="minorHAnsi" w:hAnsiTheme="minorHAnsi" w:cstheme="minorBidi"/>
                <w:szCs w:val="20"/>
              </w:rPr>
            </w:pPr>
          </w:p>
        </w:tc>
        <w:tc>
          <w:tcPr>
            <w:tcW w:w="1170" w:type="dxa"/>
            <w:vAlign w:val="center"/>
          </w:tcPr>
          <w:p w14:paraId="2A03FA6E" w14:textId="77777777" w:rsidR="00E41EEC" w:rsidRPr="00E41EEC" w:rsidRDefault="00E41EEC" w:rsidP="00E41EEC">
            <w:pPr>
              <w:rPr>
                <w:rFonts w:asciiTheme="minorHAnsi" w:eastAsiaTheme="minorHAnsi" w:hAnsiTheme="minorHAnsi" w:cstheme="minorBidi"/>
                <w:szCs w:val="20"/>
              </w:rPr>
            </w:pPr>
          </w:p>
        </w:tc>
      </w:tr>
      <w:tr w:rsidR="00E41EEC" w:rsidRPr="00E41EEC" w14:paraId="137B7628" w14:textId="75AB2865" w:rsidTr="00C365B6">
        <w:trPr>
          <w:jc w:val="center"/>
        </w:trPr>
        <w:tc>
          <w:tcPr>
            <w:tcW w:w="9355" w:type="dxa"/>
            <w:gridSpan w:val="6"/>
            <w:shd w:val="clear" w:color="auto" w:fill="auto"/>
          </w:tcPr>
          <w:p w14:paraId="4239B41C" w14:textId="77777777" w:rsidR="00E41EEC" w:rsidRPr="00E41EEC" w:rsidRDefault="00E41EEC" w:rsidP="00E41EEC">
            <w:pPr>
              <w:rPr>
                <w:rFonts w:asciiTheme="minorHAnsi" w:eastAsiaTheme="minorHAnsi" w:hAnsiTheme="minorHAnsi" w:cstheme="minorBidi"/>
                <w:szCs w:val="20"/>
              </w:rPr>
            </w:pPr>
          </w:p>
        </w:tc>
      </w:tr>
      <w:tr w:rsidR="00E41EEC" w:rsidRPr="00E41EEC" w14:paraId="32BED4FF" w14:textId="3ABF751B" w:rsidTr="00CF55E4">
        <w:trPr>
          <w:jc w:val="center"/>
        </w:trPr>
        <w:tc>
          <w:tcPr>
            <w:tcW w:w="9355" w:type="dxa"/>
            <w:gridSpan w:val="6"/>
            <w:shd w:val="clear" w:color="auto" w:fill="auto"/>
          </w:tcPr>
          <w:p w14:paraId="5DFC6BF7" w14:textId="5CF9AD77" w:rsidR="00E41EEC" w:rsidRPr="00E41EEC" w:rsidRDefault="00E41EEC"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t>C. Replacement of Existing Pump</w:t>
            </w:r>
          </w:p>
        </w:tc>
      </w:tr>
      <w:tr w:rsidR="00E41EEC" w:rsidRPr="00E41EEC" w14:paraId="09A5D8D1" w14:textId="37C6D6CC" w:rsidTr="00E41EEC">
        <w:trPr>
          <w:jc w:val="center"/>
        </w:trPr>
        <w:tc>
          <w:tcPr>
            <w:tcW w:w="805" w:type="dxa"/>
            <w:shd w:val="clear" w:color="auto" w:fill="auto"/>
            <w:vAlign w:val="center"/>
          </w:tcPr>
          <w:p w14:paraId="5DFE0005"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C1</w:t>
            </w:r>
          </w:p>
        </w:tc>
        <w:tc>
          <w:tcPr>
            <w:tcW w:w="3694" w:type="dxa"/>
            <w:shd w:val="clear" w:color="auto" w:fill="auto"/>
          </w:tcPr>
          <w:p w14:paraId="7453B84C" w14:textId="77777777" w:rsidR="00E41EEC" w:rsidRPr="00E41EEC" w:rsidRDefault="00E41EEC" w:rsidP="00E41EEC">
            <w:pPr>
              <w:rPr>
                <w:rFonts w:asciiTheme="minorHAnsi" w:eastAsiaTheme="minorHAnsi" w:hAnsiTheme="minorHAnsi" w:cstheme="minorBidi"/>
                <w:szCs w:val="20"/>
              </w:rPr>
            </w:pPr>
            <w:bookmarkStart w:id="1" w:name="_Hlk99530585"/>
            <w:r w:rsidRPr="00E41EEC">
              <w:rPr>
                <w:rFonts w:asciiTheme="minorHAnsi" w:eastAsiaTheme="minorHAnsi" w:hAnsiTheme="minorHAnsi" w:cstheme="minorBidi"/>
                <w:szCs w:val="20"/>
              </w:rPr>
              <w:t xml:space="preserve">Supply of a vertical, three-phase pump of equivalent features as the existing 66SV04G220T/D Lowara pump. </w:t>
            </w:r>
          </w:p>
          <w:p w14:paraId="4AD23ECF" w14:textId="77777777" w:rsidR="00E41EEC" w:rsidRPr="00E41EEC" w:rsidRDefault="00E41EEC" w:rsidP="00E41EEC">
            <w:pPr>
              <w:numPr>
                <w:ilvl w:val="0"/>
                <w:numId w:val="4"/>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The new pump will be used as a spare to the existing one which forwards the permeate to the tank of Chora.</w:t>
            </w:r>
            <w:bookmarkEnd w:id="1"/>
          </w:p>
          <w:p w14:paraId="7EC06722" w14:textId="77777777" w:rsidR="00E41EEC" w:rsidRPr="00E41EEC" w:rsidRDefault="00E41EEC" w:rsidP="00E41EEC">
            <w:pPr>
              <w:numPr>
                <w:ilvl w:val="0"/>
                <w:numId w:val="4"/>
              </w:numPr>
              <w:contextualSpacing/>
              <w:rPr>
                <w:rFonts w:asciiTheme="minorHAnsi" w:eastAsiaTheme="minorHAnsi" w:hAnsiTheme="minorHAnsi" w:cstheme="minorBidi"/>
                <w:szCs w:val="20"/>
              </w:rPr>
            </w:pPr>
            <w:r w:rsidRPr="00E41EEC">
              <w:rPr>
                <w:rFonts w:asciiTheme="minorHAnsi" w:eastAsiaTheme="minorHAnsi" w:hAnsiTheme="minorHAnsi" w:cstheme="minorBidi"/>
                <w:szCs w:val="20"/>
              </w:rPr>
              <w:t>Origin: USA, Europe</w:t>
            </w:r>
          </w:p>
        </w:tc>
        <w:tc>
          <w:tcPr>
            <w:tcW w:w="1223" w:type="dxa"/>
            <w:shd w:val="clear" w:color="auto" w:fill="auto"/>
            <w:vAlign w:val="center"/>
          </w:tcPr>
          <w:p w14:paraId="36417EAF"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1</w:t>
            </w:r>
          </w:p>
        </w:tc>
        <w:tc>
          <w:tcPr>
            <w:tcW w:w="1383" w:type="dxa"/>
          </w:tcPr>
          <w:p w14:paraId="14CA5E43" w14:textId="77777777" w:rsidR="00E41EEC" w:rsidRPr="00E41EEC" w:rsidRDefault="00E41EEC" w:rsidP="00E41EEC">
            <w:pPr>
              <w:jc w:val="center"/>
              <w:rPr>
                <w:rFonts w:asciiTheme="minorHAnsi" w:eastAsiaTheme="minorHAnsi" w:hAnsiTheme="minorHAnsi" w:cstheme="minorBidi"/>
                <w:szCs w:val="20"/>
              </w:rPr>
            </w:pPr>
          </w:p>
        </w:tc>
        <w:tc>
          <w:tcPr>
            <w:tcW w:w="1080" w:type="dxa"/>
          </w:tcPr>
          <w:p w14:paraId="6C03A624" w14:textId="77777777" w:rsidR="00E41EEC" w:rsidRPr="00E41EEC" w:rsidRDefault="00E41EEC" w:rsidP="00E41EEC">
            <w:pPr>
              <w:jc w:val="center"/>
              <w:rPr>
                <w:rFonts w:asciiTheme="minorHAnsi" w:eastAsiaTheme="minorHAnsi" w:hAnsiTheme="minorHAnsi" w:cstheme="minorBidi"/>
                <w:szCs w:val="20"/>
              </w:rPr>
            </w:pPr>
          </w:p>
        </w:tc>
        <w:tc>
          <w:tcPr>
            <w:tcW w:w="1170" w:type="dxa"/>
          </w:tcPr>
          <w:p w14:paraId="622B1172" w14:textId="77777777" w:rsidR="00E41EEC" w:rsidRPr="00E41EEC" w:rsidRDefault="00E41EEC" w:rsidP="00E41EEC">
            <w:pPr>
              <w:jc w:val="center"/>
              <w:rPr>
                <w:rFonts w:asciiTheme="minorHAnsi" w:eastAsiaTheme="minorHAnsi" w:hAnsiTheme="minorHAnsi" w:cstheme="minorBidi"/>
                <w:szCs w:val="20"/>
              </w:rPr>
            </w:pPr>
          </w:p>
        </w:tc>
      </w:tr>
      <w:tr w:rsidR="00511E1F" w:rsidRPr="00E41EEC" w14:paraId="307233FA" w14:textId="29492B3E" w:rsidTr="00211159">
        <w:trPr>
          <w:jc w:val="center"/>
        </w:trPr>
        <w:tc>
          <w:tcPr>
            <w:tcW w:w="9355" w:type="dxa"/>
            <w:gridSpan w:val="6"/>
            <w:shd w:val="clear" w:color="auto" w:fill="auto"/>
          </w:tcPr>
          <w:p w14:paraId="770CA16B" w14:textId="77777777" w:rsidR="00511E1F" w:rsidRPr="00E41EEC" w:rsidRDefault="00511E1F" w:rsidP="00E41EEC">
            <w:pPr>
              <w:jc w:val="center"/>
              <w:rPr>
                <w:rFonts w:asciiTheme="minorHAnsi" w:eastAsiaTheme="minorHAnsi" w:hAnsiTheme="minorHAnsi" w:cstheme="minorBidi"/>
                <w:szCs w:val="20"/>
              </w:rPr>
            </w:pPr>
          </w:p>
        </w:tc>
      </w:tr>
      <w:tr w:rsidR="00511E1F" w:rsidRPr="00E41EEC" w14:paraId="586DB949" w14:textId="3A99730B" w:rsidTr="0084379D">
        <w:trPr>
          <w:jc w:val="center"/>
        </w:trPr>
        <w:tc>
          <w:tcPr>
            <w:tcW w:w="9355" w:type="dxa"/>
            <w:gridSpan w:val="6"/>
            <w:shd w:val="clear" w:color="auto" w:fill="auto"/>
          </w:tcPr>
          <w:p w14:paraId="2BDF3980" w14:textId="4E19836F" w:rsidR="00511E1F" w:rsidRPr="00E41EEC" w:rsidRDefault="00511E1F" w:rsidP="00E41EEC">
            <w:pPr>
              <w:rPr>
                <w:rFonts w:asciiTheme="minorHAnsi" w:eastAsiaTheme="minorHAnsi" w:hAnsiTheme="minorHAnsi" w:cstheme="minorBidi"/>
                <w:b/>
                <w:bCs/>
                <w:szCs w:val="20"/>
              </w:rPr>
            </w:pPr>
            <w:r w:rsidRPr="00E41EEC">
              <w:rPr>
                <w:rFonts w:asciiTheme="minorHAnsi" w:eastAsiaTheme="minorHAnsi" w:hAnsiTheme="minorHAnsi" w:cstheme="minorBidi"/>
                <w:b/>
                <w:bCs/>
                <w:szCs w:val="20"/>
              </w:rPr>
              <w:lastRenderedPageBreak/>
              <w:t>D. Drawings</w:t>
            </w:r>
          </w:p>
        </w:tc>
      </w:tr>
      <w:tr w:rsidR="00E41EEC" w:rsidRPr="00E41EEC" w14:paraId="17BCC1B5" w14:textId="2DADA86F" w:rsidTr="00E41EEC">
        <w:trPr>
          <w:jc w:val="center"/>
        </w:trPr>
        <w:tc>
          <w:tcPr>
            <w:tcW w:w="805" w:type="dxa"/>
            <w:shd w:val="clear" w:color="auto" w:fill="auto"/>
            <w:vAlign w:val="center"/>
          </w:tcPr>
          <w:p w14:paraId="0469FCE4"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D1</w:t>
            </w:r>
          </w:p>
        </w:tc>
        <w:tc>
          <w:tcPr>
            <w:tcW w:w="3694" w:type="dxa"/>
            <w:shd w:val="clear" w:color="auto" w:fill="auto"/>
          </w:tcPr>
          <w:p w14:paraId="7117625C" w14:textId="77777777" w:rsidR="00E41EEC" w:rsidRPr="00E41EEC" w:rsidRDefault="00E41EEC" w:rsidP="00E41EEC">
            <w:pPr>
              <w:rPr>
                <w:rFonts w:asciiTheme="minorHAnsi" w:eastAsiaTheme="minorHAnsi" w:hAnsiTheme="minorHAnsi" w:cstheme="minorBidi"/>
                <w:szCs w:val="20"/>
              </w:rPr>
            </w:pPr>
            <w:r w:rsidRPr="00E41EEC">
              <w:rPr>
                <w:rFonts w:asciiTheme="minorHAnsi" w:eastAsiaTheme="minorHAnsi" w:hAnsiTheme="minorHAnsi" w:cstheme="minorBidi"/>
                <w:szCs w:val="20"/>
              </w:rPr>
              <w:t>Final drawing of the hydraulic and electric connection</w:t>
            </w:r>
          </w:p>
        </w:tc>
        <w:tc>
          <w:tcPr>
            <w:tcW w:w="1223" w:type="dxa"/>
            <w:shd w:val="clear" w:color="auto" w:fill="auto"/>
            <w:vAlign w:val="center"/>
          </w:tcPr>
          <w:p w14:paraId="292551B8" w14:textId="77777777" w:rsidR="00E41EEC" w:rsidRPr="00E41EEC" w:rsidRDefault="00E41EEC" w:rsidP="00E41EEC">
            <w:pPr>
              <w:jc w:val="center"/>
              <w:rPr>
                <w:rFonts w:asciiTheme="minorHAnsi" w:eastAsiaTheme="minorHAnsi" w:hAnsiTheme="minorHAnsi" w:cstheme="minorBidi"/>
                <w:szCs w:val="20"/>
              </w:rPr>
            </w:pPr>
            <w:r w:rsidRPr="00E41EEC">
              <w:rPr>
                <w:rFonts w:asciiTheme="minorHAnsi" w:eastAsiaTheme="minorHAnsi" w:hAnsiTheme="minorHAnsi" w:cstheme="minorBidi"/>
                <w:szCs w:val="20"/>
              </w:rPr>
              <w:t>1</w:t>
            </w:r>
          </w:p>
        </w:tc>
        <w:tc>
          <w:tcPr>
            <w:tcW w:w="1383" w:type="dxa"/>
          </w:tcPr>
          <w:p w14:paraId="35AA0859" w14:textId="77777777" w:rsidR="00E41EEC" w:rsidRPr="00E41EEC" w:rsidRDefault="00E41EEC" w:rsidP="00E41EEC">
            <w:pPr>
              <w:jc w:val="center"/>
              <w:rPr>
                <w:rFonts w:asciiTheme="minorHAnsi" w:eastAsiaTheme="minorHAnsi" w:hAnsiTheme="minorHAnsi" w:cstheme="minorBidi"/>
                <w:szCs w:val="20"/>
              </w:rPr>
            </w:pPr>
          </w:p>
        </w:tc>
        <w:tc>
          <w:tcPr>
            <w:tcW w:w="1080" w:type="dxa"/>
          </w:tcPr>
          <w:p w14:paraId="776DCF11" w14:textId="77777777" w:rsidR="00E41EEC" w:rsidRPr="00E41EEC" w:rsidRDefault="00E41EEC" w:rsidP="00E41EEC">
            <w:pPr>
              <w:jc w:val="center"/>
              <w:rPr>
                <w:rFonts w:asciiTheme="minorHAnsi" w:eastAsiaTheme="minorHAnsi" w:hAnsiTheme="minorHAnsi" w:cstheme="minorBidi"/>
                <w:szCs w:val="20"/>
              </w:rPr>
            </w:pPr>
          </w:p>
        </w:tc>
        <w:tc>
          <w:tcPr>
            <w:tcW w:w="1170" w:type="dxa"/>
          </w:tcPr>
          <w:p w14:paraId="7A23885B" w14:textId="77777777" w:rsidR="00E41EEC" w:rsidRPr="00E41EEC" w:rsidRDefault="00E41EEC" w:rsidP="00E41EEC">
            <w:pPr>
              <w:jc w:val="center"/>
              <w:rPr>
                <w:rFonts w:asciiTheme="minorHAnsi" w:eastAsiaTheme="minorHAnsi" w:hAnsiTheme="minorHAnsi" w:cstheme="minorBidi"/>
                <w:szCs w:val="20"/>
              </w:rPr>
            </w:pPr>
          </w:p>
        </w:tc>
      </w:tr>
      <w:tr w:rsidR="00511E1F" w:rsidRPr="00E41EEC" w14:paraId="11002449" w14:textId="77777777" w:rsidTr="00CF7D81">
        <w:trPr>
          <w:jc w:val="center"/>
        </w:trPr>
        <w:tc>
          <w:tcPr>
            <w:tcW w:w="9355" w:type="dxa"/>
            <w:gridSpan w:val="6"/>
            <w:shd w:val="clear" w:color="auto" w:fill="auto"/>
            <w:vAlign w:val="center"/>
          </w:tcPr>
          <w:p w14:paraId="157051D5" w14:textId="77777777" w:rsidR="00511E1F" w:rsidRPr="00E41EEC" w:rsidRDefault="00511E1F" w:rsidP="00E41EEC">
            <w:pPr>
              <w:jc w:val="center"/>
              <w:rPr>
                <w:rFonts w:asciiTheme="minorHAnsi" w:eastAsiaTheme="minorHAnsi" w:hAnsiTheme="minorHAnsi" w:cstheme="minorBidi"/>
                <w:szCs w:val="20"/>
              </w:rPr>
            </w:pPr>
          </w:p>
        </w:tc>
      </w:tr>
      <w:tr w:rsidR="00511E1F" w:rsidRPr="00E41EEC" w14:paraId="33D24918" w14:textId="77777777" w:rsidTr="002A0EB3">
        <w:trPr>
          <w:jc w:val="center"/>
        </w:trPr>
        <w:tc>
          <w:tcPr>
            <w:tcW w:w="7105" w:type="dxa"/>
            <w:gridSpan w:val="4"/>
            <w:shd w:val="clear" w:color="auto" w:fill="auto"/>
            <w:vAlign w:val="center"/>
          </w:tcPr>
          <w:p w14:paraId="2BBAA392" w14:textId="2994787B" w:rsidR="00511E1F" w:rsidRPr="00511E1F" w:rsidRDefault="00511E1F" w:rsidP="00511E1F">
            <w:pPr>
              <w:jc w:val="right"/>
              <w:rPr>
                <w:rFonts w:asciiTheme="minorHAnsi" w:eastAsiaTheme="minorHAnsi" w:hAnsiTheme="minorHAnsi" w:cstheme="minorBidi"/>
                <w:b/>
                <w:bCs/>
                <w:szCs w:val="20"/>
              </w:rPr>
            </w:pPr>
            <w:r w:rsidRPr="00511E1F">
              <w:rPr>
                <w:rFonts w:asciiTheme="minorHAnsi" w:eastAsiaTheme="minorHAnsi" w:hAnsiTheme="minorHAnsi" w:cstheme="minorBidi"/>
                <w:b/>
                <w:bCs/>
                <w:szCs w:val="20"/>
              </w:rPr>
              <w:t>GRAND TOTAL</w:t>
            </w:r>
            <w:r>
              <w:rPr>
                <w:rFonts w:asciiTheme="minorHAnsi" w:eastAsiaTheme="minorHAnsi" w:hAnsiTheme="minorHAnsi" w:cstheme="minorBidi"/>
                <w:b/>
                <w:bCs/>
                <w:szCs w:val="20"/>
              </w:rPr>
              <w:t xml:space="preserve"> (</w:t>
            </w:r>
            <w:r>
              <w:rPr>
                <w:rFonts w:asciiTheme="minorHAnsi" w:eastAsiaTheme="minorHAnsi" w:hAnsiTheme="minorHAnsi" w:cstheme="minorHAnsi"/>
                <w:b/>
                <w:bCs/>
                <w:szCs w:val="20"/>
              </w:rPr>
              <w:t>€</w:t>
            </w:r>
            <w:r>
              <w:rPr>
                <w:rFonts w:asciiTheme="minorHAnsi" w:eastAsiaTheme="minorHAnsi" w:hAnsiTheme="minorHAnsi" w:cstheme="minorBidi"/>
                <w:b/>
                <w:bCs/>
                <w:szCs w:val="20"/>
              </w:rPr>
              <w:t>)</w:t>
            </w:r>
          </w:p>
        </w:tc>
        <w:tc>
          <w:tcPr>
            <w:tcW w:w="2250" w:type="dxa"/>
            <w:gridSpan w:val="2"/>
          </w:tcPr>
          <w:p w14:paraId="59E4A672" w14:textId="77777777" w:rsidR="00511E1F" w:rsidRPr="00E41EEC" w:rsidRDefault="00511E1F" w:rsidP="00E41EEC">
            <w:pPr>
              <w:jc w:val="center"/>
              <w:rPr>
                <w:rFonts w:asciiTheme="minorHAnsi" w:eastAsiaTheme="minorHAnsi" w:hAnsiTheme="minorHAnsi" w:cstheme="minorBidi"/>
                <w:szCs w:val="20"/>
              </w:rPr>
            </w:pPr>
          </w:p>
        </w:tc>
      </w:tr>
    </w:tbl>
    <w:p w14:paraId="6477B48F" w14:textId="5F56AF02" w:rsidR="006C6CE5" w:rsidRDefault="006C6CE5"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(RfQ).</w:t>
      </w:r>
    </w:p>
    <w:p w14:paraId="7DAA6FA9" w14:textId="77777777" w:rsidR="00117BFB" w:rsidRDefault="00117BFB" w:rsidP="00160B71">
      <w:pPr>
        <w:jc w:val="both"/>
        <w:rPr>
          <w:rFonts w:ascii="Calibri" w:hAnsi="Calibri" w:cs="Calibri"/>
        </w:rPr>
      </w:pP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390170">
      <w:headerReference w:type="even" r:id="rId11"/>
      <w:headerReference w:type="default" r:id="rId12"/>
      <w:footerReference w:type="even" r:id="rId13"/>
      <w:footerReference w:type="default" r:id="rId14"/>
      <w:headerReference w:type="first" r:id="rId15"/>
      <w:footerReference w:type="first" r:id="rId16"/>
      <w:pgSz w:w="11900" w:h="16840"/>
      <w:pgMar w:top="99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C58C" w14:textId="77777777" w:rsidR="00027E32" w:rsidRDefault="00027E32" w:rsidP="00160B71">
      <w:r>
        <w:separator/>
      </w:r>
    </w:p>
  </w:endnote>
  <w:endnote w:type="continuationSeparator" w:id="0">
    <w:p w14:paraId="74CE2313" w14:textId="77777777" w:rsidR="00027E32" w:rsidRDefault="00027E32"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027E32"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5FBBC" w14:textId="77777777" w:rsidR="00027E32" w:rsidRDefault="00027E32" w:rsidP="00160B71">
      <w:r>
        <w:separator/>
      </w:r>
    </w:p>
  </w:footnote>
  <w:footnote w:type="continuationSeparator" w:id="0">
    <w:p w14:paraId="44B1E9B3" w14:textId="77777777" w:rsidR="00027E32" w:rsidRDefault="00027E32"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027E32" w:rsidP="009107E3">
    <w:pPr>
      <w:pStyle w:val="a4"/>
    </w:pPr>
  </w:p>
  <w:p w14:paraId="4E89FEC2" w14:textId="77777777" w:rsidR="00842C18" w:rsidRDefault="00027E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6"/>
  </w:num>
  <w:num w:numId="2" w16cid:durableId="383793086">
    <w:abstractNumId w:val="5"/>
  </w:num>
  <w:num w:numId="3" w16cid:durableId="732697852">
    <w:abstractNumId w:val="3"/>
  </w:num>
  <w:num w:numId="4" w16cid:durableId="1179586931">
    <w:abstractNumId w:val="4"/>
  </w:num>
  <w:num w:numId="5" w16cid:durableId="275066300">
    <w:abstractNumId w:val="1"/>
  </w:num>
  <w:num w:numId="6" w16cid:durableId="797911914">
    <w:abstractNumId w:val="7"/>
  </w:num>
  <w:num w:numId="7" w16cid:durableId="732393948">
    <w:abstractNumId w:val="2"/>
  </w:num>
  <w:num w:numId="8" w16cid:durableId="144121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140B0"/>
    <w:rsid w:val="00027E32"/>
    <w:rsid w:val="00070AB4"/>
    <w:rsid w:val="00096D38"/>
    <w:rsid w:val="000A130F"/>
    <w:rsid w:val="000E7BC6"/>
    <w:rsid w:val="00117BFB"/>
    <w:rsid w:val="00126C73"/>
    <w:rsid w:val="00160B71"/>
    <w:rsid w:val="00232B31"/>
    <w:rsid w:val="00237321"/>
    <w:rsid w:val="00242B88"/>
    <w:rsid w:val="003521D6"/>
    <w:rsid w:val="00374059"/>
    <w:rsid w:val="00390170"/>
    <w:rsid w:val="00397AFA"/>
    <w:rsid w:val="003F507D"/>
    <w:rsid w:val="00430FC0"/>
    <w:rsid w:val="00475D59"/>
    <w:rsid w:val="00477D49"/>
    <w:rsid w:val="00481C0A"/>
    <w:rsid w:val="00487C1C"/>
    <w:rsid w:val="004C4015"/>
    <w:rsid w:val="004C4E68"/>
    <w:rsid w:val="00511E1F"/>
    <w:rsid w:val="005278F8"/>
    <w:rsid w:val="005537F7"/>
    <w:rsid w:val="00606038"/>
    <w:rsid w:val="0064160A"/>
    <w:rsid w:val="0068783C"/>
    <w:rsid w:val="006C6CE5"/>
    <w:rsid w:val="006E2D37"/>
    <w:rsid w:val="007041FD"/>
    <w:rsid w:val="007B0454"/>
    <w:rsid w:val="007F55CF"/>
    <w:rsid w:val="00841FC4"/>
    <w:rsid w:val="008533F5"/>
    <w:rsid w:val="00883A60"/>
    <w:rsid w:val="0089729E"/>
    <w:rsid w:val="00897654"/>
    <w:rsid w:val="008C364E"/>
    <w:rsid w:val="00931C72"/>
    <w:rsid w:val="009874D1"/>
    <w:rsid w:val="009E295B"/>
    <w:rsid w:val="009F3300"/>
    <w:rsid w:val="00A55D8A"/>
    <w:rsid w:val="00AC69E5"/>
    <w:rsid w:val="00AE402C"/>
    <w:rsid w:val="00B7360D"/>
    <w:rsid w:val="00B85D50"/>
    <w:rsid w:val="00B90551"/>
    <w:rsid w:val="00C022D0"/>
    <w:rsid w:val="00C41E10"/>
    <w:rsid w:val="00C77035"/>
    <w:rsid w:val="00D16CBD"/>
    <w:rsid w:val="00D66D8B"/>
    <w:rsid w:val="00D74D84"/>
    <w:rsid w:val="00D763FD"/>
    <w:rsid w:val="00D9638A"/>
    <w:rsid w:val="00DA3366"/>
    <w:rsid w:val="00DC2864"/>
    <w:rsid w:val="00DD1804"/>
    <w:rsid w:val="00E41E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85D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4.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612</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12</cp:revision>
  <dcterms:created xsi:type="dcterms:W3CDTF">2022-01-20T16:27:00Z</dcterms:created>
  <dcterms:modified xsi:type="dcterms:W3CDTF">2022-05-17T10:54:00Z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