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C5587" w14:textId="77777777" w:rsidR="00A970C0" w:rsidRPr="00F0458F" w:rsidRDefault="00A970C0" w:rsidP="00A970C0">
      <w:pPr>
        <w:rPr>
          <w:snapToGrid w:val="0"/>
          <w:lang w:val="en-GB"/>
        </w:rPr>
      </w:pPr>
    </w:p>
    <w:p w14:paraId="237A059E" w14:textId="77777777" w:rsidR="00A970C0" w:rsidRPr="00F0458F" w:rsidRDefault="00A970C0" w:rsidP="00A970C0">
      <w:pPr>
        <w:pStyle w:val="Section3-Heading1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Annex 4: Financial Offer Form</w:t>
      </w:r>
    </w:p>
    <w:p w14:paraId="1B3655B1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</w:p>
    <w:p w14:paraId="0E82323B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 xml:space="preserve">The </w:t>
      </w:r>
      <w:r w:rsidRPr="00BE4961">
        <w:rPr>
          <w:rFonts w:ascii="Calibri" w:hAnsi="Calibri" w:cs="Calibri"/>
          <w:lang w:val="en-GB"/>
        </w:rPr>
        <w:t>Participant</w:t>
      </w:r>
      <w:r w:rsidRPr="00BE4961">
        <w:rPr>
          <w:rFonts w:ascii="Calibri" w:hAnsi="Calibri" w:cs="Calibri"/>
          <w:snapToGrid w:val="0"/>
          <w:lang w:val="en-GB"/>
        </w:rPr>
        <w:t xml:space="preserve"> is required to submit the Financial Offer in an envelope separate from the rest of the offer as indicated in the Instruction to </w:t>
      </w:r>
      <w:r w:rsidRPr="00BE4961">
        <w:rPr>
          <w:rFonts w:ascii="Calibri" w:hAnsi="Calibri" w:cs="Calibri"/>
          <w:lang w:val="en-GB"/>
        </w:rPr>
        <w:t>Participants</w:t>
      </w:r>
      <w:r w:rsidRPr="00BE4961">
        <w:rPr>
          <w:rFonts w:ascii="Calibri" w:hAnsi="Calibri" w:cs="Calibri"/>
          <w:snapToGrid w:val="0"/>
          <w:lang w:val="en-GB"/>
        </w:rPr>
        <w:t>.</w:t>
      </w:r>
    </w:p>
    <w:p w14:paraId="33CDCD7D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</w:p>
    <w:p w14:paraId="7950F5E5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>The Financial Offer must provide a detailed cost breakdown. Provide separate figures for each functional grouping or category.</w:t>
      </w:r>
    </w:p>
    <w:p w14:paraId="31F648F4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</w:p>
    <w:p w14:paraId="50598EBC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>Any estimates for cost-reimbursable items, such as travel and out-of-pocket expenses, should be listed separately.</w:t>
      </w:r>
    </w:p>
    <w:p w14:paraId="16C590D3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</w:p>
    <w:p w14:paraId="3451AFEA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>The format shown on the following pages is suggested for use as a guide in preparing the Financial Offer. The format includes specific expenditures, which may or may not be required or applicable but are indicated to serve as examples.</w:t>
      </w:r>
    </w:p>
    <w:p w14:paraId="3CD685DD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</w:p>
    <w:p w14:paraId="0CDA51AB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</w:p>
    <w:p w14:paraId="2E7BD38E" w14:textId="77777777" w:rsidR="00A970C0" w:rsidRDefault="00A970C0" w:rsidP="00A970C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  <w:r w:rsidRPr="00F0458F">
        <w:rPr>
          <w:rFonts w:ascii="Calibri" w:hAnsi="Calibri" w:cs="Calibri"/>
          <w:b/>
          <w:snapToGrid w:val="0"/>
          <w:lang w:val="en-GB"/>
        </w:rPr>
        <w:t xml:space="preserve">Cost Breakdown per </w:t>
      </w:r>
      <w:r>
        <w:rPr>
          <w:rFonts w:ascii="Calibri" w:hAnsi="Calibri" w:cs="Calibri"/>
          <w:b/>
          <w:snapToGrid w:val="0"/>
          <w:lang w:val="en-GB"/>
        </w:rPr>
        <w:t xml:space="preserve">Phase; the expected deliverables </w:t>
      </w:r>
      <w:r>
        <w:rPr>
          <w:rFonts w:ascii="Calibri" w:hAnsi="Calibri" w:cs="Calibri"/>
          <w:b/>
          <w:snapToGrid w:val="0"/>
          <w:lang w:val="el-GR"/>
        </w:rPr>
        <w:t>Τ</w:t>
      </w:r>
      <w:r>
        <w:rPr>
          <w:rFonts w:ascii="Calibri" w:hAnsi="Calibri" w:cs="Calibri"/>
          <w:b/>
          <w:snapToGrid w:val="0"/>
          <w:lang w:val="en-GB"/>
        </w:rPr>
        <w:t xml:space="preserve">asks per phase can be found in the </w:t>
      </w:r>
      <w:proofErr w:type="spellStart"/>
      <w:r>
        <w:rPr>
          <w:rFonts w:ascii="Calibri" w:hAnsi="Calibri" w:cs="Calibri"/>
          <w:b/>
          <w:snapToGrid w:val="0"/>
          <w:lang w:val="en-GB"/>
        </w:rPr>
        <w:t>ToR</w:t>
      </w:r>
      <w:proofErr w:type="spellEnd"/>
    </w:p>
    <w:p w14:paraId="5F6FBE88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5CED6057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1995C9E4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226EF2F7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156BBDFB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61640E43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56841680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24601780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15724BAA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5CCD7B25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51FA11BB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187243B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38859120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771D3A1C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374B4666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5DD88534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567B0709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8C9DABB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2D91872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5D8B7F17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B977F9B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0E073D85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6CFD37C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2DF1106B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140FA095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36902116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5252223B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tbl>
      <w:tblPr>
        <w:tblpPr w:leftFromText="180" w:rightFromText="180" w:vertAnchor="text" w:tblpY="-299"/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768"/>
        <w:gridCol w:w="2892"/>
        <w:gridCol w:w="1418"/>
        <w:gridCol w:w="1223"/>
      </w:tblGrid>
      <w:tr w:rsidR="00A970C0" w:rsidRPr="00F0458F" w14:paraId="37AE3275" w14:textId="77777777" w:rsidTr="00A970C0">
        <w:tc>
          <w:tcPr>
            <w:tcW w:w="276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02548665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  <w:lastRenderedPageBreak/>
              <w:t>TASKS</w:t>
            </w: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 xml:space="preserve"> / Phases (the full description of the phases and tanks are given in the </w:t>
            </w:r>
            <w:proofErr w:type="spellStart"/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>ToR</w:t>
            </w:r>
            <w:proofErr w:type="spellEnd"/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 xml:space="preserve"> in Annex 5)</w:t>
            </w:r>
          </w:p>
        </w:tc>
        <w:tc>
          <w:tcPr>
            <w:tcW w:w="2892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7FB48C55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346" w:hanging="180"/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 xml:space="preserve">Main Outputs / </w:t>
            </w:r>
            <w:r w:rsidRPr="00F0458F">
              <w:rPr>
                <w:rFonts w:ascii="Calibri" w:hAnsi="Calibri" w:cs="Calibri"/>
                <w:bCs/>
                <w:snapToGrid w:val="0"/>
                <w:color w:val="FFFFFF"/>
                <w:sz w:val="22"/>
                <w:szCs w:val="22"/>
                <w:lang w:val="en-GB"/>
              </w:rPr>
              <w:t>Deliverables</w:t>
            </w:r>
          </w:p>
        </w:tc>
        <w:tc>
          <w:tcPr>
            <w:tcW w:w="1418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  <w:vAlign w:val="center"/>
          </w:tcPr>
          <w:p w14:paraId="4C788933" w14:textId="77777777" w:rsidR="00A970C0" w:rsidRPr="00F0458F" w:rsidRDefault="00A970C0" w:rsidP="00A970C0">
            <w:pPr>
              <w:jc w:val="center"/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 xml:space="preserve">Percentage of Total </w:t>
            </w:r>
            <w:proofErr w:type="spellStart"/>
            <w:r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>Pricr</w:t>
            </w:r>
            <w:proofErr w:type="spellEnd"/>
          </w:p>
        </w:tc>
        <w:tc>
          <w:tcPr>
            <w:tcW w:w="1223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7343EB8" w14:textId="77777777" w:rsidR="00A970C0" w:rsidRPr="00F0458F" w:rsidRDefault="00A970C0" w:rsidP="00A970C0">
            <w:pPr>
              <w:jc w:val="right"/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>Price USD</w:t>
            </w:r>
          </w:p>
          <w:p w14:paraId="3A5706D7" w14:textId="77777777" w:rsidR="00A970C0" w:rsidRPr="00F0458F" w:rsidRDefault="00A970C0" w:rsidP="00A970C0">
            <w:pPr>
              <w:jc w:val="right"/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napToGrid w:val="0"/>
                <w:color w:val="FFFFFF"/>
                <w:sz w:val="22"/>
                <w:szCs w:val="22"/>
                <w:lang w:val="en-GB"/>
              </w:rPr>
              <w:t>(Lump Sum, All Inclusive)</w:t>
            </w:r>
          </w:p>
        </w:tc>
      </w:tr>
      <w:tr w:rsidR="00A970C0" w:rsidRPr="00F0458F" w14:paraId="24A67285" w14:textId="77777777" w:rsidTr="00A970C0">
        <w:trPr>
          <w:trHeight w:val="6447"/>
        </w:trPr>
        <w:tc>
          <w:tcPr>
            <w:tcW w:w="2768" w:type="dxa"/>
            <w:tcBorders>
              <w:bottom w:val="single" w:sz="4" w:space="0" w:color="auto"/>
            </w:tcBorders>
            <w:shd w:val="clear" w:color="auto" w:fill="D9E2F3"/>
          </w:tcPr>
          <w:p w14:paraId="30D28FDE" w14:textId="77777777" w:rsidR="00A970C0" w:rsidRPr="00F0458F" w:rsidRDefault="00A970C0" w:rsidP="00A970C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 xml:space="preserve">Phase 1. Inception phase </w:t>
            </w:r>
          </w:p>
          <w:p w14:paraId="18E5F791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495726D4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bookmarkStart w:id="0" w:name="_Hlk6847818"/>
            <w:bookmarkStart w:id="1" w:name="_Hlk6848124"/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a. </w:t>
            </w:r>
            <w:bookmarkEnd w:id="1"/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Develop/identify scope, method and tools for undertaking willingness to pay (WTP) surveys for flood insurance and private sector risk financing in the two study areas.  </w:t>
            </w:r>
          </w:p>
          <w:p w14:paraId="2F7972DA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p w14:paraId="6137D4E2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b.</w:t>
            </w:r>
            <w:r w:rsidRPr="00F0458F">
              <w:rPr>
                <w:rFonts w:ascii="Calibri" w:eastAsia="Calibri" w:hAnsi="Calibri" w:cs="Calibri"/>
                <w:bCs/>
                <w:sz w:val="22"/>
                <w:szCs w:val="22"/>
                <w:lang w:val="en-GB" w:eastAsia="en-US"/>
              </w:rPr>
              <w:t xml:space="preserve"> </w:t>
            </w: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Identify data requirements and availability for implementing the Pilot project. Assessment of data availability leading to the identification of data gaps for the socio-economic vulnerability characterization of the study areas.</w:t>
            </w:r>
          </w:p>
          <w:p w14:paraId="35EECB14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ind w:left="394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p w14:paraId="24F1841A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c. Develop methods and tools for undertaking necessary surveys to collect needed information for successfully implementing the Pilot Project. </w:t>
            </w:r>
          </w:p>
          <w:p w14:paraId="60659802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p w14:paraId="34857844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e. Prepare Inception Report</w:t>
            </w:r>
          </w:p>
          <w:bookmarkEnd w:id="0"/>
          <w:p w14:paraId="7F63A5FC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auto"/>
          </w:tcPr>
          <w:p w14:paraId="2CE3BA38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376BD1FB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3E6369A5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p w14:paraId="06D8A228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highlight w:val="cyan"/>
                <w:lang w:val="en-GB"/>
              </w:rPr>
            </w:pPr>
            <w:bookmarkStart w:id="2" w:name="_Hlk7009964"/>
          </w:p>
          <w:p w14:paraId="3FD18963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Inception meetings</w:t>
            </w:r>
          </w:p>
          <w:p w14:paraId="64905EEC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highlight w:val="cyan"/>
                <w:lang w:val="en-GB"/>
              </w:rPr>
            </w:pPr>
          </w:p>
          <w:p w14:paraId="11967A46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highlight w:val="cyan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Inception Report</w:t>
            </w:r>
          </w:p>
          <w:p w14:paraId="54DD908B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p w14:paraId="52FEF86A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bookmarkEnd w:id="2"/>
          <w:p w14:paraId="1A8CE522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A3F0F09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030A343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14:paraId="74F416C1" w14:textId="77777777" w:rsidR="00A970C0" w:rsidRPr="00F0458F" w:rsidRDefault="00A970C0" w:rsidP="00A970C0">
            <w:pPr>
              <w:pStyle w:val="ListParagraph"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D9E2F3"/>
          </w:tcPr>
          <w:p w14:paraId="5319ED03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</w:tr>
      <w:tr w:rsidR="00A970C0" w:rsidRPr="00F0458F" w14:paraId="5DF35402" w14:textId="77777777" w:rsidTr="00A970C0">
        <w:trPr>
          <w:trHeight w:val="4230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1769" w14:textId="77777777" w:rsidR="00A970C0" w:rsidRPr="00F0458F" w:rsidRDefault="00A970C0" w:rsidP="00A970C0">
            <w:pPr>
              <w:spacing w:after="6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 xml:space="preserve">Phase 2. </w:t>
            </w:r>
            <w:r w:rsidRPr="00F0458F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Data collection and analysis of existing conditions</w:t>
            </w:r>
          </w:p>
          <w:p w14:paraId="0682C860" w14:textId="77777777" w:rsidR="00A970C0" w:rsidRPr="00F0458F" w:rsidRDefault="00A970C0" w:rsidP="00A970C0">
            <w:pPr>
              <w:spacing w:after="60"/>
              <w:jc w:val="both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624DCB50" w14:textId="77777777" w:rsidR="00A970C0" w:rsidRPr="00F0458F" w:rsidRDefault="00A970C0" w:rsidP="00A970C0">
            <w:pPr>
              <w:pStyle w:val="ListParagraph"/>
              <w:tabs>
                <w:tab w:val="left" w:pos="2431"/>
              </w:tabs>
              <w:overflowPunct/>
              <w:autoSpaceDE/>
              <w:autoSpaceDN/>
              <w:adjustRightInd/>
              <w:spacing w:after="6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a. Data collection</w:t>
            </w:r>
          </w:p>
          <w:p w14:paraId="5D7D9DFE" w14:textId="77777777" w:rsidR="00A970C0" w:rsidRPr="00F0458F" w:rsidRDefault="00A970C0" w:rsidP="00A970C0">
            <w:pPr>
              <w:pStyle w:val="ListParagraph"/>
              <w:tabs>
                <w:tab w:val="left" w:pos="2431"/>
              </w:tabs>
              <w:overflowPunct/>
              <w:autoSpaceDE/>
              <w:autoSpaceDN/>
              <w:adjustRightInd/>
              <w:spacing w:after="6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372302A0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b. </w:t>
            </w:r>
            <w:bookmarkStart w:id="3" w:name="_Hlk6849763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Analysis of existing socio-economic and vulnerability data availability and quality </w:t>
            </w:r>
            <w:bookmarkEnd w:id="3"/>
          </w:p>
          <w:p w14:paraId="55287670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C547704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jc w:val="both"/>
              <w:rPr>
                <w:rFonts w:ascii="Calibri" w:hAnsi="Calibri" w:cs="Calibri"/>
                <w:sz w:val="22"/>
                <w:szCs w:val="22"/>
                <w:lang w:val="en-GB"/>
              </w:rPr>
            </w:pPr>
            <w:bookmarkStart w:id="4" w:name="_Hlk6851991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c. Undertake field surveys to fully characterise study areas’ socio-economic conditions</w:t>
            </w:r>
            <w:bookmarkEnd w:id="4"/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7D24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Consultation meetings and related reports</w:t>
            </w:r>
          </w:p>
          <w:p w14:paraId="39DB99C2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napToGrid w:val="0"/>
                <w:sz w:val="22"/>
                <w:szCs w:val="22"/>
                <w:lang w:val="en-GB"/>
              </w:rPr>
            </w:pPr>
          </w:p>
          <w:p w14:paraId="38A66C7C" w14:textId="77777777" w:rsidR="00A970C0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bookmarkStart w:id="5" w:name="_Hlk6851592"/>
            <w:bookmarkStart w:id="6" w:name="_Hlk7010188"/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Report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including</w:t>
            </w: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: </w:t>
            </w:r>
          </w:p>
          <w:p w14:paraId="639CB60C" w14:textId="77777777" w:rsidR="00A970C0" w:rsidRDefault="00A970C0" w:rsidP="00A970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0B4107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Data availability and quality analysis</w:t>
            </w:r>
            <w:bookmarkEnd w:id="6"/>
            <w:r w:rsidRPr="000B4107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.</w:t>
            </w:r>
          </w:p>
          <w:bookmarkEnd w:id="5"/>
          <w:p w14:paraId="0E00E4DF" w14:textId="77777777" w:rsidR="00A970C0" w:rsidRPr="00F0458F" w:rsidRDefault="00A970C0" w:rsidP="00A970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/>
                <w:bCs/>
                <w:sz w:val="22"/>
                <w:szCs w:val="22"/>
                <w:lang w:val="en-GB"/>
              </w:rPr>
              <w:t>Characterization of the socio-economic status of the communities and their flood vulnerability.</w:t>
            </w:r>
          </w:p>
          <w:p w14:paraId="5358F1D0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6419840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D7A8100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0FB3CE38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7FFAFF80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5B28C470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4604EF1A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4655A04C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  <w:r w:rsidRPr="00BE4961"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  <w:t>$---</w:t>
            </w:r>
          </w:p>
        </w:tc>
      </w:tr>
      <w:tr w:rsidR="00A970C0" w:rsidRPr="00F0458F" w14:paraId="774A02B9" w14:textId="77777777" w:rsidTr="00A970C0">
        <w:trPr>
          <w:trHeight w:val="10229"/>
        </w:trPr>
        <w:tc>
          <w:tcPr>
            <w:tcW w:w="2768" w:type="dxa"/>
            <w:tcBorders>
              <w:top w:val="nil"/>
            </w:tcBorders>
            <w:shd w:val="clear" w:color="auto" w:fill="D9E2F3"/>
          </w:tcPr>
          <w:p w14:paraId="5AEAA6BE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lastRenderedPageBreak/>
              <w:t xml:space="preserve">Phase 3: </w:t>
            </w:r>
            <w:bookmarkStart w:id="7" w:name="_Hlk6851729"/>
            <w:r w:rsidRPr="00F0458F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Socio-economic vulnerability assessment and characterisation of study areas</w:t>
            </w:r>
            <w:bookmarkEnd w:id="7"/>
          </w:p>
          <w:p w14:paraId="770BB4F1" w14:textId="77777777" w:rsidR="00A970C0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bookmarkStart w:id="8" w:name="_Hlk6853114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a. Collect and review all existing hazard data for </w:t>
            </w:r>
            <w:bookmarkStart w:id="9" w:name="_Hlk9507615"/>
            <w:proofErr w:type="spellStart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Skadar</w:t>
            </w:r>
            <w:proofErr w:type="spellEnd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/Shkoder and Bojana-Buna</w:t>
            </w:r>
            <w:bookmarkEnd w:id="9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, and Struga study areas.</w:t>
            </w:r>
          </w:p>
          <w:p w14:paraId="17296D4D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</w:p>
          <w:p w14:paraId="2B52DE3E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b. Develop a methodology for combining the hazard data with socio-economic data </w:t>
            </w:r>
          </w:p>
          <w:p w14:paraId="2524BE00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0D99D8CD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c. Develop GIS-based tool to integrate various spatial socio-economic data with the flood hazard maps, perform vulnerability assessment, produce risk and vulnerability maps which will include damages and losses, and loss of life estimates.</w:t>
            </w:r>
          </w:p>
          <w:p w14:paraId="621ED8EF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547525F6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d. Undertake socio-economic risk, vulnerability and damages modelling and assessment to fully map vulnerability and damages within the </w:t>
            </w:r>
            <w:proofErr w:type="spellStart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Skadar</w:t>
            </w:r>
            <w:proofErr w:type="spellEnd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/Shkoder and Bojana-Buna, and Struga study areas</w:t>
            </w:r>
          </w:p>
          <w:p w14:paraId="2D3E1FBE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4354798A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e. Undertake feasibility studies into various types of ex-ante flood insurance including indemnity and index-based flood insurance schemes</w:t>
            </w:r>
          </w:p>
          <w:p w14:paraId="1AC781D8" w14:textId="77777777" w:rsidR="00A970C0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2CD05B8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f. Undertake a cost/benefit analysis of flood insurance</w:t>
            </w:r>
          </w:p>
          <w:bookmarkEnd w:id="8"/>
          <w:p w14:paraId="3E616445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60"/>
              <w:ind w:left="0"/>
              <w:contextualSpacing w:val="0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2892" w:type="dxa"/>
            <w:tcBorders>
              <w:top w:val="nil"/>
            </w:tcBorders>
            <w:shd w:val="clear" w:color="auto" w:fill="auto"/>
          </w:tcPr>
          <w:p w14:paraId="395091CB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62F5F3B5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1093543A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7F12F701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159ADB93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bookmarkStart w:id="10" w:name="_Hlk6854342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GIS-based tool for flood damage and loss calculation and vulnerability mapping</w:t>
            </w:r>
            <w:bookmarkEnd w:id="10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70E653C4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p w14:paraId="4F287D57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p w14:paraId="5F5D4540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p w14:paraId="18368F81" w14:textId="77777777" w:rsidR="00A970C0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bookmarkStart w:id="11" w:name="_Hlk6854437"/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Report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including</w:t>
            </w: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:  </w:t>
            </w:r>
          </w:p>
          <w:p w14:paraId="002C06E2" w14:textId="77777777" w:rsidR="00A970C0" w:rsidRPr="00F0458F" w:rsidRDefault="00A970C0" w:rsidP="00A970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Flood vulnerability, flood damages and losses in the study areas</w:t>
            </w:r>
            <w:bookmarkEnd w:id="11"/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.</w:t>
            </w:r>
          </w:p>
          <w:p w14:paraId="3410B65D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p w14:paraId="0030D25A" w14:textId="77777777" w:rsidR="00A970C0" w:rsidRPr="00F0458F" w:rsidRDefault="00A970C0" w:rsidP="00A970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bookmarkStart w:id="12" w:name="_Hlk6854514"/>
            <w:r w:rsidRPr="001D0808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Feasibility studies into various types of ex-ante flood insurance including indemnity and index-based flood insurance schemes for Drin Basin and cost-benefit analysis of flood insurance for Drin Basin</w:t>
            </w: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.</w:t>
            </w:r>
          </w:p>
          <w:p w14:paraId="6C0269E9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bookmarkEnd w:id="12"/>
          <w:p w14:paraId="33A5F7B9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D9E2F3"/>
            <w:vAlign w:val="center"/>
          </w:tcPr>
          <w:p w14:paraId="011D419D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23" w:type="dxa"/>
            <w:tcBorders>
              <w:top w:val="nil"/>
            </w:tcBorders>
            <w:shd w:val="clear" w:color="auto" w:fill="D9E2F3"/>
          </w:tcPr>
          <w:p w14:paraId="5A6AC97F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4DC10672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01212BA5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7093FF74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78BBECEA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5C7CC86A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3A216AA4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2F04F124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highlight w:val="green"/>
                <w:lang w:val="en-GB"/>
              </w:rPr>
            </w:pPr>
          </w:p>
          <w:p w14:paraId="6BA3CA91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highlight w:val="green"/>
                <w:lang w:val="en-GB"/>
              </w:rPr>
            </w:pPr>
          </w:p>
          <w:p w14:paraId="059F0A60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highlight w:val="green"/>
                <w:lang w:val="en-GB"/>
              </w:rPr>
            </w:pPr>
          </w:p>
          <w:p w14:paraId="415DB55B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highlight w:val="green"/>
                <w:lang w:val="en-GB"/>
              </w:rPr>
            </w:pPr>
          </w:p>
          <w:p w14:paraId="43032B8A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highlight w:val="green"/>
                <w:lang w:val="en-GB"/>
              </w:rPr>
            </w:pPr>
          </w:p>
          <w:p w14:paraId="6BAA31E9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highlight w:val="green"/>
                <w:lang w:val="en-GB"/>
              </w:rPr>
            </w:pPr>
          </w:p>
          <w:p w14:paraId="7B499D3E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highlight w:val="green"/>
                <w:lang w:val="en-GB"/>
              </w:rPr>
            </w:pPr>
          </w:p>
          <w:p w14:paraId="52225F6A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highlight w:val="green"/>
                <w:lang w:val="en-GB"/>
              </w:rPr>
            </w:pPr>
          </w:p>
          <w:p w14:paraId="0BB34425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  <w:r w:rsidRPr="00BE4961"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  <w:t>$---</w:t>
            </w:r>
          </w:p>
        </w:tc>
      </w:tr>
      <w:tr w:rsidR="00A970C0" w:rsidRPr="00F0458F" w14:paraId="7E0675E1" w14:textId="77777777" w:rsidTr="00A970C0">
        <w:trPr>
          <w:trHeight w:val="3426"/>
        </w:trPr>
        <w:tc>
          <w:tcPr>
            <w:tcW w:w="2768" w:type="dxa"/>
            <w:shd w:val="clear" w:color="auto" w:fill="D9E2F3"/>
          </w:tcPr>
          <w:p w14:paraId="6D5777C1" w14:textId="77777777" w:rsidR="00A970C0" w:rsidRPr="00F0458F" w:rsidRDefault="00A970C0" w:rsidP="00A970C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lastRenderedPageBreak/>
              <w:t xml:space="preserve">Phase 4: </w:t>
            </w:r>
            <w:bookmarkStart w:id="13" w:name="_Hlk6854808"/>
            <w:r w:rsidRPr="00F0458F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Willingness to pay survey of outline flood insurance scheme</w:t>
            </w:r>
            <w:bookmarkEnd w:id="13"/>
          </w:p>
          <w:p w14:paraId="4F9A0D64" w14:textId="77777777" w:rsidR="00A970C0" w:rsidRPr="00F0458F" w:rsidRDefault="00A970C0" w:rsidP="00A970C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64008CEB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bookmarkStart w:id="14" w:name="_Hlk6854935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4.1 </w:t>
            </w:r>
            <w:bookmarkStart w:id="15" w:name="_Hlk7007824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Analyse recent catastrophe risk management approaches and related measures taken.  Identify and quantify financial risk management instruments currently applied in riparian countries</w:t>
            </w:r>
            <w:bookmarkEnd w:id="15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.</w:t>
            </w:r>
          </w:p>
          <w:p w14:paraId="042AFA2D" w14:textId="77777777" w:rsidR="00A970C0" w:rsidRPr="00F0458F" w:rsidRDefault="00A970C0" w:rsidP="00A970C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7FCC4BE9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4.2 Review of the insurance sector in the study areas. </w:t>
            </w:r>
          </w:p>
          <w:p w14:paraId="5B89395B" w14:textId="77777777" w:rsidR="00A970C0" w:rsidRPr="00F0458F" w:rsidRDefault="00A970C0" w:rsidP="00A970C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3A6A40E2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4.3 Identify and characterise existing insurance products or develop indicative insurance products </w:t>
            </w:r>
          </w:p>
          <w:p w14:paraId="1947FC5D" w14:textId="77777777" w:rsidR="00A970C0" w:rsidRPr="00F0458F" w:rsidRDefault="00A970C0" w:rsidP="00A970C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79A94297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4.4 Undertake focus group research involving insurance experts</w:t>
            </w:r>
          </w:p>
          <w:p w14:paraId="6D6C8DA5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7882D744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4.5 Undertake focus groups research with representatives of households </w:t>
            </w:r>
          </w:p>
          <w:p w14:paraId="4E89544C" w14:textId="77777777" w:rsidR="00A970C0" w:rsidRPr="00F0458F" w:rsidRDefault="00A970C0" w:rsidP="00A970C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0573C68C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4.6 Based on the results of the households focus groups, conduct a preliminary concept testing of the flood insurance products. Conduct the survey of willingness to pay for proposed flood insurance products.</w:t>
            </w:r>
          </w:p>
          <w:p w14:paraId="4594A1A8" w14:textId="77777777" w:rsidR="00A970C0" w:rsidRPr="00F0458F" w:rsidRDefault="00A970C0" w:rsidP="00A970C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720A77BB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4.7 Undertake research in focus groups consisting of representatives of business sector </w:t>
            </w:r>
          </w:p>
          <w:p w14:paraId="16A028A3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1943B7AE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4.8 Based on the results of the business sector focus groups, conduct a preliminary concept testing of the flood insurance </w:t>
            </w: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lastRenderedPageBreak/>
              <w:t>scheme. Conduct the survey of willingness to pay for proposed flood insurance scheme</w:t>
            </w:r>
          </w:p>
          <w:p w14:paraId="55EA461B" w14:textId="77777777" w:rsidR="00A970C0" w:rsidRPr="00F0458F" w:rsidRDefault="00A970C0" w:rsidP="00A970C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179066FB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4.9 Undertake research in focus groups consisting </w:t>
            </w:r>
            <w:proofErr w:type="gramStart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of  representatives</w:t>
            </w:r>
            <w:proofErr w:type="gramEnd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 of public sector </w:t>
            </w:r>
          </w:p>
          <w:p w14:paraId="19CB779D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  <w:p w14:paraId="2DB88001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4.10 Based on the results of the public sector focus groups, conduct a preliminary concept testing of the flood insurance scheme. Conduct the survey of willingness to pay for proposed flood insurance scheme</w:t>
            </w:r>
          </w:p>
          <w:p w14:paraId="1A136229" w14:textId="77777777" w:rsidR="00A970C0" w:rsidRPr="00F0458F" w:rsidRDefault="00A970C0" w:rsidP="00A970C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74A9706B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4.11 Undertake research in focus groups consisting of representatives of agricultural households about possible flood insurance scheme</w:t>
            </w:r>
          </w:p>
          <w:p w14:paraId="234ABB8C" w14:textId="77777777" w:rsidR="00A970C0" w:rsidRPr="00F0458F" w:rsidRDefault="00A970C0" w:rsidP="00A970C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14:paraId="0509BB4F" w14:textId="77777777" w:rsidR="00A970C0" w:rsidRPr="00F0458F" w:rsidRDefault="00A970C0" w:rsidP="00A970C0">
            <w:pPr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4.12 Based on the results of the agricultural household focus groups, conduct a preliminary concept testing of the flood insurance scheme. Conduct the survey of willingness to pay for proposed flood insurance scheme</w:t>
            </w:r>
            <w:bookmarkEnd w:id="14"/>
          </w:p>
        </w:tc>
        <w:tc>
          <w:tcPr>
            <w:tcW w:w="2892" w:type="dxa"/>
            <w:shd w:val="clear" w:color="auto" w:fill="auto"/>
          </w:tcPr>
          <w:p w14:paraId="61638A2F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  <w:p w14:paraId="42B907AA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  <w:p w14:paraId="4F67CF63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  <w:p w14:paraId="5C8BDF81" w14:textId="77777777" w:rsidR="00A970C0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Report: </w:t>
            </w:r>
          </w:p>
          <w:p w14:paraId="7D0A5032" w14:textId="77777777" w:rsidR="00A970C0" w:rsidRPr="00F0458F" w:rsidRDefault="00A970C0" w:rsidP="00A970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/>
                <w:bCs/>
                <w:sz w:val="22"/>
                <w:szCs w:val="22"/>
                <w:lang w:val="en-GB"/>
              </w:rPr>
              <w:t>Existing disaster risk and recovery legislative and policy frameworks, and existing instruments/methods of disaster risk and recovery financing in riparian countries, focusing on flood risk.</w:t>
            </w:r>
          </w:p>
          <w:p w14:paraId="0FB3836E" w14:textId="77777777" w:rsidR="00A970C0" w:rsidRPr="00F0458F" w:rsidRDefault="00A970C0" w:rsidP="00A970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/>
                <w:bCs/>
                <w:sz w:val="22"/>
                <w:szCs w:val="22"/>
                <w:lang w:val="en-GB"/>
              </w:rPr>
              <w:t>Existing insurance products and proposed/ indicative insurance products that can be offered for ex-ante risk management;</w:t>
            </w:r>
          </w:p>
          <w:p w14:paraId="74C5D0C6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  <w:p w14:paraId="63E73683" w14:textId="77777777" w:rsidR="00A970C0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  <w:p w14:paraId="38231FB9" w14:textId="77777777" w:rsidR="00A970C0" w:rsidRPr="00F0458F" w:rsidRDefault="00A970C0" w:rsidP="00A970C0">
            <w:pPr>
              <w:rPr>
                <w:rFonts w:ascii="Calibri" w:hAnsi="Calibri" w:cs="Calibri"/>
                <w:sz w:val="22"/>
                <w:szCs w:val="22"/>
                <w:lang w:val="en-GB"/>
              </w:rPr>
            </w:pPr>
            <w:bookmarkStart w:id="16" w:name="_Hlk6855389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Report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 </w:t>
            </w: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on the analysis of the results of the research by focus groups and WTP surveys and recommendations for the flood product/insurance scheme as well as the willingness to pay of households, business sector, public sector and agricultural households.</w:t>
            </w:r>
          </w:p>
          <w:bookmarkEnd w:id="16"/>
          <w:p w14:paraId="3684D7C5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  <w:p w14:paraId="2156790F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napToGrid w:val="0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/>
                <w:bCs/>
                <w:sz w:val="22"/>
                <w:szCs w:val="22"/>
                <w:lang w:val="en-GB"/>
              </w:rPr>
              <w:t>Consultation meetings and related reports</w:t>
            </w:r>
          </w:p>
        </w:tc>
        <w:tc>
          <w:tcPr>
            <w:tcW w:w="1418" w:type="dxa"/>
            <w:shd w:val="clear" w:color="auto" w:fill="D9E2F3"/>
            <w:vAlign w:val="center"/>
          </w:tcPr>
          <w:p w14:paraId="0D6EFBC9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23" w:type="dxa"/>
            <w:shd w:val="clear" w:color="auto" w:fill="D9E2F3"/>
          </w:tcPr>
          <w:p w14:paraId="75BDFE7F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14D93BFC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6CDEF11C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3FD4B2B6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5DD8CD8D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61528777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3623D9FD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186E9F1F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66DB246D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00116456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3642D896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3D7BC5D0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5060A370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266AE897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6E69A7B8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665426E4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4564EC25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4BC40FD2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3B9FD6F6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  <w:r w:rsidRPr="00BE4961"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  <w:t>$---</w:t>
            </w:r>
          </w:p>
        </w:tc>
      </w:tr>
      <w:tr w:rsidR="00A970C0" w:rsidRPr="00F0458F" w14:paraId="5898E29E" w14:textId="77777777" w:rsidTr="00A970C0">
        <w:trPr>
          <w:trHeight w:val="9418"/>
        </w:trPr>
        <w:tc>
          <w:tcPr>
            <w:tcW w:w="2768" w:type="dxa"/>
            <w:shd w:val="clear" w:color="auto" w:fill="D9E2F3"/>
          </w:tcPr>
          <w:p w14:paraId="58E522C3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lastRenderedPageBreak/>
              <w:t xml:space="preserve">Phase 5: </w:t>
            </w:r>
            <w:bookmarkStart w:id="17" w:name="_Hlk6855456"/>
            <w:r w:rsidRPr="00F0458F"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  <w:t>Private Sector Willingness to contribute to/subsidise flood insurance</w:t>
            </w:r>
            <w:bookmarkEnd w:id="17"/>
          </w:p>
          <w:p w14:paraId="69736D93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bookmarkStart w:id="18" w:name="_Hlk6855526"/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5.1 Identify key private/productive sector players who can be engaged in flood risk reduction and identify the key drivers and approaches for engagement of the private/productive sector in flood risk reduction in Drin basin.  </w:t>
            </w:r>
          </w:p>
          <w:p w14:paraId="0C3F9F56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5.2 Develop and implement surveys to examine private sector willingness to support authorities with providing </w:t>
            </w:r>
            <w:proofErr w:type="gramStart"/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sufficient</w:t>
            </w:r>
            <w:proofErr w:type="gramEnd"/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risk reduction. Identify which FRM activities they would a willingness to contribute to </w:t>
            </w:r>
          </w:p>
          <w:p w14:paraId="7FD04E2D" w14:textId="77777777" w:rsidR="00A970C0" w:rsidRPr="00F0458F" w:rsidRDefault="00A970C0" w:rsidP="00A970C0">
            <w:pPr>
              <w:pStyle w:val="ListParagraph"/>
              <w:spacing w:after="120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5.3 Conduct focus group workshops with key private/productive sector players as well as key informant interviews (e.g. policy makers) </w:t>
            </w:r>
          </w:p>
          <w:p w14:paraId="75540D6E" w14:textId="77777777" w:rsidR="00A970C0" w:rsidRPr="00F0458F" w:rsidRDefault="00A970C0" w:rsidP="00A970C0">
            <w:pPr>
              <w:pStyle w:val="ListParagraph"/>
              <w:spacing w:after="120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5.4 Develop survey methodology and material to examine the willingness of sector players to contribute to/subsidise flood insurance </w:t>
            </w:r>
          </w:p>
          <w:p w14:paraId="3494232E" w14:textId="77777777" w:rsidR="00A970C0" w:rsidRPr="00F0458F" w:rsidRDefault="00A970C0" w:rsidP="00A970C0">
            <w:pPr>
              <w:pStyle w:val="ListParagraph"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5.5 Conduct private/productive sector surveys and undertake feasibility assessment of key private/productive sector players to determine their interest in contributing to/subsidising flood insurance  </w:t>
            </w:r>
            <w:bookmarkEnd w:id="18"/>
          </w:p>
        </w:tc>
        <w:tc>
          <w:tcPr>
            <w:tcW w:w="2892" w:type="dxa"/>
            <w:shd w:val="clear" w:color="auto" w:fill="auto"/>
          </w:tcPr>
          <w:p w14:paraId="32167D0B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ind w:left="346" w:hanging="18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23C7E6F7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ind w:left="346" w:hanging="18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46F44EA6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ind w:left="346" w:hanging="18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</w:p>
          <w:p w14:paraId="257A03A2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bookmarkStart w:id="19" w:name="_Hlk6855925"/>
          </w:p>
          <w:p w14:paraId="54EA22B6" w14:textId="77777777" w:rsidR="00A970C0" w:rsidRDefault="00A970C0" w:rsidP="00A970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>Report</w:t>
            </w:r>
            <w:r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including</w:t>
            </w: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: </w:t>
            </w:r>
          </w:p>
          <w:p w14:paraId="3542772F" w14:textId="77777777" w:rsidR="00A970C0" w:rsidRPr="00F0458F" w:rsidRDefault="00A970C0" w:rsidP="00A970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Identification of key private/productive sector players </w:t>
            </w:r>
          </w:p>
          <w:p w14:paraId="51E32276" w14:textId="77777777" w:rsidR="00A970C0" w:rsidRPr="00F0458F" w:rsidRDefault="00A970C0" w:rsidP="00A970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GB"/>
              </w:rPr>
            </w:pPr>
            <w:bookmarkStart w:id="20" w:name="_Hlk6855980"/>
            <w:bookmarkEnd w:id="19"/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 xml:space="preserve">Analysis of the results of the research by focus groups and surveys – Private sector contributors.  </w:t>
            </w:r>
          </w:p>
          <w:p w14:paraId="11ADE149" w14:textId="77777777" w:rsidR="00A970C0" w:rsidRPr="00F0458F" w:rsidRDefault="00A970C0" w:rsidP="00A970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bookmarkStart w:id="21" w:name="_Hlk6856060"/>
            <w:bookmarkEnd w:id="20"/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Survey methodology and material to examine the willingness of private/productive sector players to contribute to flood insurance </w:t>
            </w:r>
            <w:bookmarkStart w:id="22" w:name="_Hlk6856112"/>
            <w:bookmarkEnd w:id="21"/>
          </w:p>
          <w:p w14:paraId="56A86DE2" w14:textId="77777777" w:rsidR="00A970C0" w:rsidRPr="00F0458F" w:rsidRDefault="00A970C0" w:rsidP="00A970C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 w:cs="Calibri"/>
                <w:sz w:val="22"/>
                <w:szCs w:val="22"/>
                <w:lang w:val="en-GB"/>
              </w:rPr>
              <w:t>Feasibility Report on Private Sector w</w:t>
            </w:r>
            <w:r w:rsidRPr="00F0458F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illingness to contribute to/subsidise flood risk reduction financing and flood risk reduction financing mechanisms </w:t>
            </w:r>
          </w:p>
          <w:p w14:paraId="168C5211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</w:p>
          <w:bookmarkEnd w:id="22"/>
          <w:p w14:paraId="20351D49" w14:textId="77777777" w:rsidR="00A970C0" w:rsidRPr="00F0458F" w:rsidRDefault="00A970C0" w:rsidP="00A97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F0458F">
              <w:rPr>
                <w:rFonts w:ascii="Calibri" w:hAnsi="Calibri"/>
                <w:bCs/>
                <w:sz w:val="22"/>
                <w:szCs w:val="22"/>
                <w:lang w:val="en-GB"/>
              </w:rPr>
              <w:t>Consultation meetings and related reports</w:t>
            </w:r>
          </w:p>
        </w:tc>
        <w:tc>
          <w:tcPr>
            <w:tcW w:w="1418" w:type="dxa"/>
            <w:shd w:val="clear" w:color="auto" w:fill="D9E2F3"/>
            <w:vAlign w:val="center"/>
          </w:tcPr>
          <w:p w14:paraId="30B13B75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</w:tc>
        <w:tc>
          <w:tcPr>
            <w:tcW w:w="1223" w:type="dxa"/>
            <w:shd w:val="clear" w:color="auto" w:fill="D9E2F3"/>
          </w:tcPr>
          <w:p w14:paraId="1A42CB5A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0F7FF8FD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3B7FCBB7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30B70219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77D85205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40CF7AF5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72ACEDA1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6F253784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01CFB0E1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both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17C146D6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highlight w:val="green"/>
                <w:lang w:val="en-GB"/>
              </w:rPr>
            </w:pPr>
          </w:p>
          <w:p w14:paraId="6CC741D4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33355ACD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20E93CD2" w14:textId="77777777" w:rsidR="00A970C0" w:rsidRPr="00BE4961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</w:p>
          <w:p w14:paraId="2ECF0FAB" w14:textId="77777777" w:rsidR="00A970C0" w:rsidRPr="00F0458F" w:rsidRDefault="00A970C0" w:rsidP="00A970C0">
            <w:pPr>
              <w:pStyle w:val="ListParagraph"/>
              <w:overflowPunct/>
              <w:autoSpaceDE/>
              <w:autoSpaceDN/>
              <w:adjustRightInd/>
              <w:spacing w:after="120"/>
              <w:ind w:left="0"/>
              <w:jc w:val="center"/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</w:pPr>
            <w:r w:rsidRPr="00BE4961">
              <w:rPr>
                <w:rFonts w:ascii="Calibri" w:hAnsi="Calibri" w:cs="Calibri"/>
                <w:snapToGrid w:val="0"/>
                <w:sz w:val="22"/>
                <w:szCs w:val="22"/>
                <w:lang w:val="en-GB"/>
              </w:rPr>
              <w:t>$---</w:t>
            </w:r>
          </w:p>
        </w:tc>
      </w:tr>
    </w:tbl>
    <w:p w14:paraId="33F81816" w14:textId="77777777" w:rsidR="00A970C0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4FC0D7FC" w14:textId="77777777" w:rsidR="00A970C0" w:rsidRPr="00F0458F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snapToGrid w:val="0"/>
          <w:lang w:val="en-GB"/>
        </w:rPr>
      </w:pPr>
    </w:p>
    <w:p w14:paraId="342AD024" w14:textId="77777777" w:rsidR="00A970C0" w:rsidRPr="00F0458F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snapToGrid w:val="0"/>
          <w:lang w:val="en-GB"/>
        </w:rPr>
      </w:pPr>
    </w:p>
    <w:p w14:paraId="30C4F009" w14:textId="77777777" w:rsidR="00A970C0" w:rsidRPr="00F0458F" w:rsidRDefault="00A970C0" w:rsidP="00A970C0">
      <w:pPr>
        <w:pStyle w:val="ListParagraph"/>
        <w:overflowPunct/>
        <w:autoSpaceDE/>
        <w:autoSpaceDN/>
        <w:adjustRightInd/>
        <w:spacing w:after="120"/>
        <w:jc w:val="both"/>
        <w:rPr>
          <w:rFonts w:ascii="Calibri" w:hAnsi="Calibri" w:cs="Calibri"/>
          <w:snapToGrid w:val="0"/>
          <w:lang w:val="en-GB"/>
        </w:rPr>
      </w:pPr>
    </w:p>
    <w:p w14:paraId="0E396450" w14:textId="77777777" w:rsidR="00A970C0" w:rsidRPr="00F0458F" w:rsidRDefault="00A970C0" w:rsidP="00A970C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after="120"/>
        <w:jc w:val="both"/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br w:type="page"/>
      </w:r>
      <w:r w:rsidRPr="00F0458F">
        <w:rPr>
          <w:rFonts w:ascii="Calibri" w:hAnsi="Calibri" w:cs="Calibri"/>
          <w:snapToGrid w:val="0"/>
          <w:lang w:val="en-GB"/>
        </w:rPr>
        <w:lastRenderedPageBreak/>
        <w:t xml:space="preserve">Cost Breakdown </w:t>
      </w:r>
      <w:r>
        <w:rPr>
          <w:rFonts w:ascii="Calibri" w:hAnsi="Calibri" w:cs="Calibri"/>
          <w:snapToGrid w:val="0"/>
          <w:lang w:val="en-GB"/>
        </w:rPr>
        <w:t>per phase</w:t>
      </w:r>
      <w:r w:rsidRPr="00F0458F">
        <w:rPr>
          <w:rFonts w:ascii="Calibri" w:hAnsi="Calibri" w:cs="Calibri"/>
          <w:snapToGrid w:val="0"/>
          <w:lang w:val="en-GB"/>
        </w:rPr>
        <w:t xml:space="preserve">: </w:t>
      </w:r>
    </w:p>
    <w:p w14:paraId="4AC9F8C6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  <w:r w:rsidRPr="00F0458F">
        <w:rPr>
          <w:rFonts w:ascii="Calibri" w:hAnsi="Calibri" w:cs="Calibri"/>
          <w:snapToGrid w:val="0"/>
          <w:lang w:val="en-GB"/>
        </w:rPr>
        <w:t xml:space="preserve">The </w:t>
      </w:r>
      <w:r w:rsidRPr="00BE4961">
        <w:rPr>
          <w:rFonts w:ascii="Calibri" w:hAnsi="Calibri" w:cs="Calibri"/>
          <w:lang w:val="en-GB"/>
        </w:rPr>
        <w:t>Participants</w:t>
      </w:r>
      <w:r w:rsidRPr="00F0458F">
        <w:rPr>
          <w:rFonts w:ascii="Calibri" w:hAnsi="Calibri" w:cs="Calibri"/>
          <w:snapToGrid w:val="0"/>
          <w:lang w:val="en-GB"/>
        </w:rPr>
        <w:t xml:space="preserve"> are requested to provide the cost breakdown for </w:t>
      </w:r>
      <w:r>
        <w:rPr>
          <w:rFonts w:ascii="Calibri" w:hAnsi="Calibri" w:cs="Calibri"/>
          <w:snapToGrid w:val="0"/>
          <w:lang w:val="en-GB"/>
        </w:rPr>
        <w:t xml:space="preserve">each phase (see </w:t>
      </w:r>
      <w:proofErr w:type="spellStart"/>
      <w:r>
        <w:rPr>
          <w:rFonts w:ascii="Calibri" w:hAnsi="Calibri" w:cs="Calibri"/>
          <w:snapToGrid w:val="0"/>
          <w:lang w:val="en-GB"/>
        </w:rPr>
        <w:t>ToR</w:t>
      </w:r>
      <w:proofErr w:type="spellEnd"/>
      <w:r>
        <w:rPr>
          <w:rFonts w:ascii="Calibri" w:hAnsi="Calibri" w:cs="Calibri"/>
          <w:snapToGrid w:val="0"/>
          <w:lang w:val="en-GB"/>
        </w:rPr>
        <w:t xml:space="preserve">) </w:t>
      </w:r>
      <w:r w:rsidRPr="00F0458F">
        <w:rPr>
          <w:rFonts w:ascii="Calibri" w:hAnsi="Calibri" w:cs="Calibri"/>
          <w:snapToGrid w:val="0"/>
          <w:lang w:val="en-GB"/>
        </w:rPr>
        <w:t xml:space="preserve">based on the following format. The </w:t>
      </w:r>
      <w:r>
        <w:rPr>
          <w:rFonts w:ascii="Calibri" w:hAnsi="Calibri" w:cs="Calibri"/>
          <w:snapToGrid w:val="0"/>
          <w:lang w:val="en-GB"/>
        </w:rPr>
        <w:t>C</w:t>
      </w:r>
      <w:r w:rsidRPr="00F0458F">
        <w:rPr>
          <w:rFonts w:ascii="Calibri" w:hAnsi="Calibri" w:cs="Calibri"/>
          <w:snapToGrid w:val="0"/>
          <w:lang w:val="en-GB"/>
        </w:rPr>
        <w:t xml:space="preserve">ontracting Authority will use the cost breakdown for the price reasonability assessment purposes as well as the calculation of price </w:t>
      </w:r>
      <w:proofErr w:type="gramStart"/>
      <w:r w:rsidRPr="00F0458F">
        <w:rPr>
          <w:rFonts w:ascii="Calibri" w:hAnsi="Calibri" w:cs="Calibri"/>
          <w:snapToGrid w:val="0"/>
          <w:lang w:val="en-GB"/>
        </w:rPr>
        <w:t>in the event that</w:t>
      </w:r>
      <w:proofErr w:type="gramEnd"/>
      <w:r w:rsidRPr="00F0458F">
        <w:rPr>
          <w:rFonts w:ascii="Calibri" w:hAnsi="Calibri" w:cs="Calibri"/>
          <w:snapToGrid w:val="0"/>
          <w:lang w:val="en-GB"/>
        </w:rPr>
        <w:t xml:space="preserve"> both parties have agreed to add new deliverables to the scope of Services. </w:t>
      </w:r>
    </w:p>
    <w:p w14:paraId="4159A81C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</w:p>
    <w:tbl>
      <w:tblPr>
        <w:tblW w:w="10438" w:type="dxa"/>
        <w:tblInd w:w="-71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3020"/>
        <w:gridCol w:w="2119"/>
        <w:gridCol w:w="2252"/>
        <w:gridCol w:w="1854"/>
        <w:gridCol w:w="1193"/>
      </w:tblGrid>
      <w:tr w:rsidR="00A970C0" w:rsidRPr="007A19FD" w14:paraId="2A4C15CD" w14:textId="77777777" w:rsidTr="00A970C0">
        <w:trPr>
          <w:trHeight w:val="239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14:paraId="27930E65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119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4F9BF276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2CB1746E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2ECC7874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14:paraId="7535C178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0ED1DACA" w14:textId="77777777" w:rsidTr="00A970C0">
        <w:trPr>
          <w:trHeight w:val="730"/>
        </w:trPr>
        <w:tc>
          <w:tcPr>
            <w:tcW w:w="302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472C4"/>
          </w:tcPr>
          <w:p w14:paraId="43ED2107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  <w:t xml:space="preserve">Phases (the full description of the phases and tanks are given in the </w:t>
            </w:r>
            <w:proofErr w:type="spellStart"/>
            <w:r w:rsidRPr="007A19FD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  <w:t>ToR</w:t>
            </w:r>
            <w:proofErr w:type="spellEnd"/>
            <w:r w:rsidRPr="007A19FD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  <w:t xml:space="preserve"> in Annex 5)</w:t>
            </w:r>
            <w:r w:rsidRPr="007A19FD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  <w:tab/>
            </w:r>
          </w:p>
        </w:tc>
        <w:tc>
          <w:tcPr>
            <w:tcW w:w="2119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7B18F549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  <w:t xml:space="preserve">Remuneration per Unit of </w:t>
            </w:r>
            <w:proofErr w:type="gramStart"/>
            <w:r w:rsidRPr="007A19FD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  <w:t>Time  (</w:t>
            </w:r>
            <w:proofErr w:type="gramEnd"/>
            <w:r w:rsidRPr="007A19FD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  <w:t>e.g., day, month, etc.) or per Item</w:t>
            </w:r>
          </w:p>
        </w:tc>
        <w:tc>
          <w:tcPr>
            <w:tcW w:w="2252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0786F95E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  <w:t>Number of Units/Items</w:t>
            </w:r>
          </w:p>
        </w:tc>
        <w:tc>
          <w:tcPr>
            <w:tcW w:w="1854" w:type="dxa"/>
            <w:tcBorders>
              <w:top w:val="single" w:sz="4" w:space="0" w:color="FFFFFF"/>
              <w:left w:val="nil"/>
              <w:right w:val="nil"/>
            </w:tcBorders>
            <w:shd w:val="clear" w:color="auto" w:fill="4472C4"/>
          </w:tcPr>
          <w:p w14:paraId="60194AC3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  <w:t>No. of Personnel</w:t>
            </w:r>
          </w:p>
        </w:tc>
        <w:tc>
          <w:tcPr>
            <w:tcW w:w="1192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472C4"/>
          </w:tcPr>
          <w:p w14:paraId="4555FCD9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  <w:t xml:space="preserve">Total </w:t>
            </w:r>
          </w:p>
        </w:tc>
      </w:tr>
      <w:tr w:rsidR="00A970C0" w:rsidRPr="007A19FD" w14:paraId="3B2B9273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23C33593" w14:textId="77777777" w:rsidR="00A970C0" w:rsidRPr="004D402A" w:rsidRDefault="00A970C0" w:rsidP="00FC6F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4D402A">
              <w:rPr>
                <w:rFonts w:ascii="Calibri" w:hAnsi="Calibri" w:cs="Calibri"/>
                <w:b/>
                <w:bCs/>
                <w:snapToGrid w:val="0"/>
                <w:lang w:val="en-GB"/>
              </w:rPr>
              <w:t>Phase No 1</w:t>
            </w:r>
          </w:p>
        </w:tc>
        <w:tc>
          <w:tcPr>
            <w:tcW w:w="2119" w:type="dxa"/>
            <w:shd w:val="clear" w:color="auto" w:fill="B4C6E7"/>
          </w:tcPr>
          <w:p w14:paraId="12EB191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602EC5F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7D6DBEE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76411E1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52E2A9E2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19E0DA3" w14:textId="77777777" w:rsidR="00A970C0" w:rsidRPr="007A19FD" w:rsidRDefault="00A970C0" w:rsidP="00FC6F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3"/>
                <w:szCs w:val="23"/>
                <w:lang w:val="el-GR" w:eastAsia="el-GR"/>
              </w:rPr>
            </w:pPr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>Personnel</w:t>
            </w:r>
            <w:proofErr w:type="spellEnd"/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 xml:space="preserve"> Services </w:t>
            </w:r>
          </w:p>
          <w:p w14:paraId="777DE11B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119" w:type="dxa"/>
            <w:shd w:val="clear" w:color="auto" w:fill="B4C6E7"/>
          </w:tcPr>
          <w:p w14:paraId="3331C02C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16A6191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7D1DA80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75C2F29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6096C8C5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5C9C2123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a.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1 </w:t>
            </w:r>
          </w:p>
        </w:tc>
        <w:tc>
          <w:tcPr>
            <w:tcW w:w="2119" w:type="dxa"/>
            <w:shd w:val="clear" w:color="auto" w:fill="B4C6E7"/>
          </w:tcPr>
          <w:p w14:paraId="6CB013F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39FB5CF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7B2A9FBC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D3EE2F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44C884BF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3A104A3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b.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2 </w:t>
            </w:r>
          </w:p>
        </w:tc>
        <w:tc>
          <w:tcPr>
            <w:tcW w:w="2119" w:type="dxa"/>
            <w:shd w:val="clear" w:color="auto" w:fill="B4C6E7"/>
          </w:tcPr>
          <w:p w14:paraId="233B973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4025D79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06CC092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5C8711F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63211CA4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5B997BAF" w14:textId="77777777" w:rsidR="00A970C0" w:rsidRPr="004D402A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lang w:val="en-US" w:eastAsia="el-GR"/>
              </w:rPr>
              <w:t>1c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19" w:type="dxa"/>
            <w:shd w:val="clear" w:color="auto" w:fill="B4C6E7"/>
          </w:tcPr>
          <w:p w14:paraId="2A2AE2C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4A4AF65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38D824D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570B2F4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1A4DD8F8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0854B0B9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1d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</w:p>
        </w:tc>
        <w:tc>
          <w:tcPr>
            <w:tcW w:w="2119" w:type="dxa"/>
            <w:shd w:val="clear" w:color="auto" w:fill="B4C6E7"/>
          </w:tcPr>
          <w:p w14:paraId="340C675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5AE4A4E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109641C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6F653FC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19790D65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378963CF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1e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</w:p>
        </w:tc>
        <w:tc>
          <w:tcPr>
            <w:tcW w:w="2119" w:type="dxa"/>
            <w:shd w:val="clear" w:color="auto" w:fill="B4C6E7"/>
          </w:tcPr>
          <w:p w14:paraId="2CC6BB2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5F061DB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08AF7DF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4F80C10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3A4AC1BC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5403A0D9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2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Travel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Costs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2A3E97C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3E5152D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50E38F4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44FD08E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C4674BC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60F717E5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3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Daily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Allowance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025C9AC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35AAEEC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799644D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14DCF8E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02D38F2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35F94BEE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4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Communications </w:t>
            </w:r>
          </w:p>
        </w:tc>
        <w:tc>
          <w:tcPr>
            <w:tcW w:w="2119" w:type="dxa"/>
            <w:shd w:val="clear" w:color="auto" w:fill="B4C6E7"/>
          </w:tcPr>
          <w:p w14:paraId="37E2B83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0FC1C5C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17CD858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4287D61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6C51C4A2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1EEA124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5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r w:rsidRPr="007A19FD">
              <w:rPr>
                <w:rFonts w:ascii="Calibri" w:hAnsi="Calibri" w:cs="Calibri"/>
                <w:lang w:val="en-US" w:eastAsia="el-GR"/>
              </w:rPr>
              <w:t>Printing Costs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0AA8940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0044BCD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680D898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6A62D35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5CDD4459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7F15E82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6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r w:rsidRPr="007A19FD">
              <w:rPr>
                <w:rFonts w:ascii="Calibri" w:hAnsi="Calibri" w:cs="Calibri"/>
                <w:lang w:val="en-US" w:eastAsia="el-GR"/>
              </w:rPr>
              <w:t>Communication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21C36B2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60F3A84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7E8B096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36F47FF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06343283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2F93F794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7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Others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5A8DBC2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0A78511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44CC34F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69192F3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7576C19" w14:textId="77777777" w:rsidTr="00A970C0">
        <w:trPr>
          <w:trHeight w:val="250"/>
        </w:trPr>
        <w:tc>
          <w:tcPr>
            <w:tcW w:w="10438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1B82788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58FA714A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6FDAE1BB" w14:textId="77777777" w:rsidR="00A970C0" w:rsidRPr="00E02F87" w:rsidRDefault="00A970C0" w:rsidP="00FC6FBA">
            <w:pPr>
              <w:rPr>
                <w:rFonts w:ascii="Calibri" w:hAnsi="Calibri" w:cs="Calibri"/>
                <w:b/>
                <w:lang w:val="el-GR" w:eastAsia="el-GR"/>
              </w:rPr>
            </w:pPr>
            <w:r w:rsidRPr="00E02F87">
              <w:rPr>
                <w:rFonts w:ascii="Calibri" w:hAnsi="Calibri" w:cs="Calibri"/>
                <w:b/>
                <w:bCs/>
                <w:snapToGrid w:val="0"/>
                <w:lang w:val="en-GB"/>
              </w:rPr>
              <w:t xml:space="preserve">Phase No 2 </w:t>
            </w:r>
          </w:p>
        </w:tc>
        <w:tc>
          <w:tcPr>
            <w:tcW w:w="7417" w:type="dxa"/>
            <w:gridSpan w:val="4"/>
            <w:shd w:val="clear" w:color="auto" w:fill="B4C6E7"/>
          </w:tcPr>
          <w:p w14:paraId="3B12BD7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0D2379BA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AD90A8A" w14:textId="77777777" w:rsidR="00A970C0" w:rsidRPr="007A19FD" w:rsidRDefault="00A970C0" w:rsidP="00FC6F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3"/>
                <w:szCs w:val="23"/>
                <w:lang w:val="el-GR" w:eastAsia="el-GR"/>
              </w:rPr>
            </w:pPr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>Personnel</w:t>
            </w:r>
            <w:proofErr w:type="spellEnd"/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 xml:space="preserve"> Services </w:t>
            </w:r>
          </w:p>
          <w:p w14:paraId="1375FDC4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119" w:type="dxa"/>
            <w:shd w:val="clear" w:color="auto" w:fill="B4C6E7"/>
          </w:tcPr>
          <w:p w14:paraId="3095136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62174AE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32A0BDD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5B9F664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1089E63B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2501966F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a.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1 </w:t>
            </w:r>
          </w:p>
        </w:tc>
        <w:tc>
          <w:tcPr>
            <w:tcW w:w="2119" w:type="dxa"/>
            <w:shd w:val="clear" w:color="auto" w:fill="B4C6E7"/>
          </w:tcPr>
          <w:p w14:paraId="48F4ED3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773CA54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6C9E6AC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1472BB5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5EE55E27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5520EF2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b.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2 </w:t>
            </w:r>
          </w:p>
        </w:tc>
        <w:tc>
          <w:tcPr>
            <w:tcW w:w="2119" w:type="dxa"/>
            <w:shd w:val="clear" w:color="auto" w:fill="B4C6E7"/>
          </w:tcPr>
          <w:p w14:paraId="0814258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07F01D5C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21A3152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08707FD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388A8D4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2059F275" w14:textId="77777777" w:rsidR="00A970C0" w:rsidRPr="004D402A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lang w:val="en-US" w:eastAsia="el-GR"/>
              </w:rPr>
              <w:t>1c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19" w:type="dxa"/>
            <w:shd w:val="clear" w:color="auto" w:fill="B4C6E7"/>
          </w:tcPr>
          <w:p w14:paraId="35B748B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536EA3D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56909B3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049F6F9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522A215F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5CC1B6F6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1d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</w:p>
        </w:tc>
        <w:tc>
          <w:tcPr>
            <w:tcW w:w="2119" w:type="dxa"/>
            <w:shd w:val="clear" w:color="auto" w:fill="B4C6E7"/>
          </w:tcPr>
          <w:p w14:paraId="0E94F59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039DEC1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5C75C54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D1D253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3F2E3F3A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354F2AA8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1e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</w:p>
        </w:tc>
        <w:tc>
          <w:tcPr>
            <w:tcW w:w="2119" w:type="dxa"/>
            <w:shd w:val="clear" w:color="auto" w:fill="B4C6E7"/>
          </w:tcPr>
          <w:p w14:paraId="39242D2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3BE4D48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54BA5B6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0C51F4E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462E873B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6C3C7C12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2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Travel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Costs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67709CD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663F0B3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1B9E7F5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A88338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0D6382E7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0206C891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3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Daily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Allowance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594905E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6173E3E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35FB113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7BD09EA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175A343C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3DA192BD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4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Communications </w:t>
            </w:r>
          </w:p>
        </w:tc>
        <w:tc>
          <w:tcPr>
            <w:tcW w:w="2119" w:type="dxa"/>
            <w:shd w:val="clear" w:color="auto" w:fill="B4C6E7"/>
          </w:tcPr>
          <w:p w14:paraId="7A8726B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2DE4197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22B1908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1102113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1F2AFF1E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7A929472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5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r w:rsidRPr="007A19FD">
              <w:rPr>
                <w:rFonts w:ascii="Calibri" w:hAnsi="Calibri" w:cs="Calibri"/>
                <w:lang w:val="en-US" w:eastAsia="el-GR"/>
              </w:rPr>
              <w:t>Printing Costs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6455D18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4B53E21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6C16439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D2C7FA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1B0E5A64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4F89F19F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6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r w:rsidRPr="007A19FD">
              <w:rPr>
                <w:rFonts w:ascii="Calibri" w:hAnsi="Calibri" w:cs="Calibri"/>
                <w:lang w:val="en-US" w:eastAsia="el-GR"/>
              </w:rPr>
              <w:t>Communication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7A0744C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03E6E60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4C13831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3980BE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2BAE764E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0AE7942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7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Others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106EA50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7FBDE56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3316241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73735C7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36E38270" w14:textId="77777777" w:rsidTr="00A970C0">
        <w:trPr>
          <w:trHeight w:val="250"/>
        </w:trPr>
        <w:tc>
          <w:tcPr>
            <w:tcW w:w="10438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5EFD4F9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74FCD0F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510FE511" w14:textId="77777777" w:rsidR="00A970C0" w:rsidRPr="00E02F87" w:rsidRDefault="00A970C0" w:rsidP="00FC6FBA">
            <w:pPr>
              <w:rPr>
                <w:rFonts w:ascii="Calibri" w:hAnsi="Calibri" w:cs="Calibri"/>
                <w:b/>
                <w:bCs/>
                <w:snapToGrid w:val="0"/>
                <w:lang w:val="en-GB"/>
              </w:rPr>
            </w:pPr>
            <w:r w:rsidRPr="00E02F87">
              <w:rPr>
                <w:rFonts w:ascii="Calibri" w:hAnsi="Calibri" w:cs="Calibri"/>
                <w:b/>
                <w:bCs/>
                <w:snapToGrid w:val="0"/>
                <w:lang w:val="en-GB"/>
              </w:rPr>
              <w:t>Phase No 3</w:t>
            </w:r>
          </w:p>
        </w:tc>
        <w:tc>
          <w:tcPr>
            <w:tcW w:w="2119" w:type="dxa"/>
            <w:shd w:val="clear" w:color="auto" w:fill="B4C6E7"/>
          </w:tcPr>
          <w:p w14:paraId="69D3A9F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782C856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5F06B95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001922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1EB55EB4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4B7AA6D1" w14:textId="77777777" w:rsidR="00A970C0" w:rsidRPr="007A19FD" w:rsidRDefault="00A970C0" w:rsidP="00FC6F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3"/>
                <w:szCs w:val="23"/>
                <w:lang w:val="el-GR" w:eastAsia="el-GR"/>
              </w:rPr>
            </w:pPr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>Personnel</w:t>
            </w:r>
            <w:proofErr w:type="spellEnd"/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 xml:space="preserve"> Services </w:t>
            </w:r>
          </w:p>
          <w:p w14:paraId="3B5E8F32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119" w:type="dxa"/>
            <w:shd w:val="clear" w:color="auto" w:fill="B4C6E7"/>
          </w:tcPr>
          <w:p w14:paraId="35A840E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12CE287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09F4566C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7DA42F3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34D289B7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2EFED890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a.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1 </w:t>
            </w:r>
          </w:p>
        </w:tc>
        <w:tc>
          <w:tcPr>
            <w:tcW w:w="2119" w:type="dxa"/>
            <w:shd w:val="clear" w:color="auto" w:fill="B4C6E7"/>
          </w:tcPr>
          <w:p w14:paraId="01C6D67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441F72D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0586995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17B5CEF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6EB76AF0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0BFA081A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b.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2 </w:t>
            </w:r>
          </w:p>
        </w:tc>
        <w:tc>
          <w:tcPr>
            <w:tcW w:w="2119" w:type="dxa"/>
            <w:shd w:val="clear" w:color="auto" w:fill="B4C6E7"/>
          </w:tcPr>
          <w:p w14:paraId="1215800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5DDD30F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09AC0B7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8415DC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27CEB24D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0D8E7C9D" w14:textId="77777777" w:rsidR="00A970C0" w:rsidRPr="004D402A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lang w:val="en-US" w:eastAsia="el-GR"/>
              </w:rPr>
              <w:lastRenderedPageBreak/>
              <w:t>1c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19" w:type="dxa"/>
            <w:shd w:val="clear" w:color="auto" w:fill="B4C6E7"/>
          </w:tcPr>
          <w:p w14:paraId="2E4F5D9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35C6396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1096070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6699729C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47A4A575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3F9AEF77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1d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</w:p>
        </w:tc>
        <w:tc>
          <w:tcPr>
            <w:tcW w:w="2119" w:type="dxa"/>
            <w:shd w:val="clear" w:color="auto" w:fill="B4C6E7"/>
          </w:tcPr>
          <w:p w14:paraId="35E18A9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288F6F7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21B41E8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16048D1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12265CEC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26C6302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1e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</w:p>
        </w:tc>
        <w:tc>
          <w:tcPr>
            <w:tcW w:w="2119" w:type="dxa"/>
            <w:shd w:val="clear" w:color="auto" w:fill="B4C6E7"/>
          </w:tcPr>
          <w:p w14:paraId="631EED9C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348E681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563D16B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009C95A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D4AB57D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64C78C1F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2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Travel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Costs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5657640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71A646B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12F3242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14BEF85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4F77CD44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362174F9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3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Daily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Allowance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3C9131F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2936FC2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3D74C7E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4424B67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10DD1FB1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420A76BB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4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Communications </w:t>
            </w:r>
          </w:p>
        </w:tc>
        <w:tc>
          <w:tcPr>
            <w:tcW w:w="2119" w:type="dxa"/>
            <w:shd w:val="clear" w:color="auto" w:fill="B4C6E7"/>
          </w:tcPr>
          <w:p w14:paraId="2679B34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25DFB8B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12BDD2A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1746C41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B306656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0E157669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5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r w:rsidRPr="007A19FD">
              <w:rPr>
                <w:rFonts w:ascii="Calibri" w:hAnsi="Calibri" w:cs="Calibri"/>
                <w:lang w:val="en-US" w:eastAsia="el-GR"/>
              </w:rPr>
              <w:t>Printing Costs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686C5AF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1FEA476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79C2824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360BBBC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03442032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0AD2DA4C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6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r w:rsidRPr="007A19FD">
              <w:rPr>
                <w:rFonts w:ascii="Calibri" w:hAnsi="Calibri" w:cs="Calibri"/>
                <w:lang w:val="en-US" w:eastAsia="el-GR"/>
              </w:rPr>
              <w:t>Communication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560D3C3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54CB38E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135307F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7364F62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49F0CB1C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6793D289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7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Others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2D00D0B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1353485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7D0AAE8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1DD6867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40AD26FF" w14:textId="77777777" w:rsidTr="00A970C0">
        <w:trPr>
          <w:trHeight w:val="250"/>
        </w:trPr>
        <w:tc>
          <w:tcPr>
            <w:tcW w:w="10438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35ACC92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3BBDBE72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4DBDD1F6" w14:textId="77777777" w:rsidR="00A970C0" w:rsidRPr="00E02F87" w:rsidRDefault="00A970C0" w:rsidP="00FC6FBA">
            <w:pPr>
              <w:rPr>
                <w:rFonts w:ascii="Calibri" w:hAnsi="Calibri" w:cs="Calibri"/>
                <w:b/>
                <w:lang w:val="el-GR" w:eastAsia="el-GR"/>
              </w:rPr>
            </w:pPr>
            <w:r w:rsidRPr="00E02F87">
              <w:rPr>
                <w:rFonts w:ascii="Calibri" w:hAnsi="Calibri" w:cs="Calibri"/>
                <w:b/>
                <w:bCs/>
                <w:snapToGrid w:val="0"/>
                <w:lang w:val="en-GB"/>
              </w:rPr>
              <w:t>Phase No 4</w:t>
            </w:r>
          </w:p>
        </w:tc>
        <w:tc>
          <w:tcPr>
            <w:tcW w:w="2119" w:type="dxa"/>
            <w:shd w:val="clear" w:color="auto" w:fill="B4C6E7"/>
          </w:tcPr>
          <w:p w14:paraId="062CB59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7C3F38E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2077922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62D87C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031F7428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793FF241" w14:textId="77777777" w:rsidR="00A970C0" w:rsidRPr="007A19FD" w:rsidRDefault="00A970C0" w:rsidP="00FC6F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3"/>
                <w:szCs w:val="23"/>
                <w:lang w:val="el-GR" w:eastAsia="el-GR"/>
              </w:rPr>
            </w:pPr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>Personnel</w:t>
            </w:r>
            <w:proofErr w:type="spellEnd"/>
            <w:r w:rsidRPr="007A19FD">
              <w:rPr>
                <w:rFonts w:ascii="Calibri" w:hAnsi="Calibri" w:cs="Calibri"/>
                <w:b/>
                <w:bCs/>
                <w:sz w:val="23"/>
                <w:szCs w:val="23"/>
                <w:lang w:val="el-GR" w:eastAsia="el-GR"/>
              </w:rPr>
              <w:t xml:space="preserve"> Services </w:t>
            </w:r>
          </w:p>
          <w:p w14:paraId="253D9576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119" w:type="dxa"/>
            <w:shd w:val="clear" w:color="auto" w:fill="B4C6E7"/>
          </w:tcPr>
          <w:p w14:paraId="469B8E6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58B4058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0D43DCC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7F79EA5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3AF29825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68B7DBB3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a.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1 </w:t>
            </w:r>
          </w:p>
        </w:tc>
        <w:tc>
          <w:tcPr>
            <w:tcW w:w="2119" w:type="dxa"/>
            <w:shd w:val="clear" w:color="auto" w:fill="B4C6E7"/>
          </w:tcPr>
          <w:p w14:paraId="7074529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3990952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7AB6415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3CF5C0C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6B79A202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07C3A035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b.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2 </w:t>
            </w:r>
          </w:p>
        </w:tc>
        <w:tc>
          <w:tcPr>
            <w:tcW w:w="2119" w:type="dxa"/>
            <w:shd w:val="clear" w:color="auto" w:fill="B4C6E7"/>
          </w:tcPr>
          <w:p w14:paraId="76E5BFC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66FB542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52D7C5E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3AD07DD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7F93DC8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34492A4D" w14:textId="77777777" w:rsidR="00A970C0" w:rsidRPr="004D402A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lang w:val="en-US" w:eastAsia="el-GR"/>
              </w:rPr>
              <w:t>1c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19" w:type="dxa"/>
            <w:shd w:val="clear" w:color="auto" w:fill="B4C6E7"/>
          </w:tcPr>
          <w:p w14:paraId="75E8A44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78F470D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5499078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0DC2746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245B1911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2FC406BC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1d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</w:p>
        </w:tc>
        <w:tc>
          <w:tcPr>
            <w:tcW w:w="2119" w:type="dxa"/>
            <w:shd w:val="clear" w:color="auto" w:fill="B4C6E7"/>
          </w:tcPr>
          <w:p w14:paraId="0E43357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4367B20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7C26C56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766F3BE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AA4EB84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55DD618A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1e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</w:p>
        </w:tc>
        <w:tc>
          <w:tcPr>
            <w:tcW w:w="2119" w:type="dxa"/>
            <w:shd w:val="clear" w:color="auto" w:fill="B4C6E7"/>
          </w:tcPr>
          <w:p w14:paraId="28F3C61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2B03743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3E8D3DB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4B864F8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52127E6D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23EC171F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2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Travel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Costs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333FD6F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33262E8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5AD49DE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9B9A59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24DDD33F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2A88FD02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3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Daily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Allowance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645EEE4C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28E8B8C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03052B4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7859B76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E18EDAC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6CFDE6C9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4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Communications </w:t>
            </w:r>
          </w:p>
        </w:tc>
        <w:tc>
          <w:tcPr>
            <w:tcW w:w="2119" w:type="dxa"/>
            <w:shd w:val="clear" w:color="auto" w:fill="B4C6E7"/>
          </w:tcPr>
          <w:p w14:paraId="638B911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7C4B45D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6EC486A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046DA9D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6E008D4D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D62E083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5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r w:rsidRPr="007A19FD">
              <w:rPr>
                <w:rFonts w:ascii="Calibri" w:hAnsi="Calibri" w:cs="Calibri"/>
                <w:lang w:val="en-US" w:eastAsia="el-GR"/>
              </w:rPr>
              <w:t>Printing Costs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754BD35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78F76A9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46C1603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03945EAC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5E1A782D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2639B23E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6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r w:rsidRPr="007A19FD">
              <w:rPr>
                <w:rFonts w:ascii="Calibri" w:hAnsi="Calibri" w:cs="Calibri"/>
                <w:lang w:val="en-US" w:eastAsia="el-GR"/>
              </w:rPr>
              <w:t>Communication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0E77C45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23B368C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34C7CF8C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7071F03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4A66E210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388147B7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7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Others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52A90A8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3A04B43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61830C3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7B781FB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33A20B33" w14:textId="77777777" w:rsidTr="00A970C0">
        <w:trPr>
          <w:trHeight w:val="250"/>
        </w:trPr>
        <w:tc>
          <w:tcPr>
            <w:tcW w:w="10438" w:type="dxa"/>
            <w:gridSpan w:val="5"/>
            <w:tcBorders>
              <w:left w:val="single" w:sz="4" w:space="0" w:color="FFFFFF"/>
            </w:tcBorders>
            <w:shd w:val="clear" w:color="auto" w:fill="4472C4"/>
          </w:tcPr>
          <w:p w14:paraId="67FB6D6E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6CE364CD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6A946F21" w14:textId="77777777" w:rsidR="00A970C0" w:rsidRPr="00E02F87" w:rsidRDefault="00A970C0" w:rsidP="00FC6FBA">
            <w:pPr>
              <w:rPr>
                <w:rFonts w:ascii="Calibri" w:hAnsi="Calibri" w:cs="Calibri"/>
                <w:b/>
                <w:lang w:val="el-GR" w:eastAsia="el-GR"/>
              </w:rPr>
            </w:pPr>
            <w:r w:rsidRPr="00E02F87">
              <w:rPr>
                <w:rFonts w:ascii="Calibri" w:hAnsi="Calibri" w:cs="Calibri"/>
                <w:b/>
                <w:bCs/>
                <w:snapToGrid w:val="0"/>
                <w:lang w:val="en-GB"/>
              </w:rPr>
              <w:t>Phase No 5</w:t>
            </w:r>
          </w:p>
        </w:tc>
        <w:tc>
          <w:tcPr>
            <w:tcW w:w="2119" w:type="dxa"/>
            <w:shd w:val="clear" w:color="auto" w:fill="B4C6E7"/>
          </w:tcPr>
          <w:p w14:paraId="5B78296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2BD8CA7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36DB97E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15FA25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3A80DCCE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6A9F0913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a.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1 </w:t>
            </w:r>
          </w:p>
        </w:tc>
        <w:tc>
          <w:tcPr>
            <w:tcW w:w="2119" w:type="dxa"/>
            <w:shd w:val="clear" w:color="auto" w:fill="B4C6E7"/>
          </w:tcPr>
          <w:p w14:paraId="722C20C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21F33ED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0BBE034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1390F12C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595E4ED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7CA3B109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b.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2 </w:t>
            </w:r>
          </w:p>
        </w:tc>
        <w:tc>
          <w:tcPr>
            <w:tcW w:w="2119" w:type="dxa"/>
            <w:shd w:val="clear" w:color="auto" w:fill="B4C6E7"/>
          </w:tcPr>
          <w:p w14:paraId="2ECB9D2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5459D1B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14D02C4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114094B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61A4F48C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27C5DFF" w14:textId="77777777" w:rsidR="00A970C0" w:rsidRPr="004D402A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lang w:val="en-US" w:eastAsia="el-GR"/>
              </w:rPr>
              <w:t>1c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Expertise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  <w:r>
              <w:rPr>
                <w:rFonts w:ascii="Calibri" w:hAnsi="Calibri" w:cs="Calibri"/>
                <w:lang w:val="en-US" w:eastAsia="el-GR"/>
              </w:rPr>
              <w:t>3</w:t>
            </w:r>
          </w:p>
        </w:tc>
        <w:tc>
          <w:tcPr>
            <w:tcW w:w="2119" w:type="dxa"/>
            <w:shd w:val="clear" w:color="auto" w:fill="B4C6E7"/>
          </w:tcPr>
          <w:p w14:paraId="482EC9E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460409E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23FC566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28BA0C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6D00FABF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046866A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1d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</w:p>
        </w:tc>
        <w:tc>
          <w:tcPr>
            <w:tcW w:w="2119" w:type="dxa"/>
            <w:shd w:val="clear" w:color="auto" w:fill="B4C6E7"/>
          </w:tcPr>
          <w:p w14:paraId="7C9F450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05282A6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70EFC43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3946D25D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2DE5421D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59A05DBB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lang w:val="en-US" w:eastAsia="el-GR"/>
              </w:rPr>
              <w:t>1e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</w:p>
        </w:tc>
        <w:tc>
          <w:tcPr>
            <w:tcW w:w="2119" w:type="dxa"/>
            <w:shd w:val="clear" w:color="auto" w:fill="B4C6E7"/>
          </w:tcPr>
          <w:p w14:paraId="7838C1F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34755A2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151039C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2A843B5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5B358C14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4F260D47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2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Travel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Costs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01D8463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610A9B9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6F01155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179C1DF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70F9C9F9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304BB9D4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3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Daily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Allowance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6424B655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6F73BD2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462D99E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5E76071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388B7868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39C65B81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4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Communications </w:t>
            </w:r>
          </w:p>
        </w:tc>
        <w:tc>
          <w:tcPr>
            <w:tcW w:w="2119" w:type="dxa"/>
            <w:shd w:val="clear" w:color="auto" w:fill="B4C6E7"/>
          </w:tcPr>
          <w:p w14:paraId="09B13C0F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6F59B6E8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5FCAC99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01A52BBC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458E33E9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5996EE98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5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r w:rsidRPr="007A19FD">
              <w:rPr>
                <w:rFonts w:ascii="Calibri" w:hAnsi="Calibri" w:cs="Calibri"/>
                <w:lang w:val="en-US" w:eastAsia="el-GR"/>
              </w:rPr>
              <w:t>Printing Costs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0E4C2719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1A849073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6AA63F40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06D5724A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25DCB482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7B6A3FDE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6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r w:rsidRPr="007A19FD">
              <w:rPr>
                <w:rFonts w:ascii="Calibri" w:hAnsi="Calibri" w:cs="Calibri"/>
                <w:lang w:val="en-US" w:eastAsia="el-GR"/>
              </w:rPr>
              <w:t>Communication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362119C4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2EE64042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523BE57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5EDED6A1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  <w:tr w:rsidR="00A970C0" w:rsidRPr="007A19FD" w14:paraId="62A70092" w14:textId="77777777" w:rsidTr="00A970C0">
        <w:trPr>
          <w:trHeight w:val="250"/>
        </w:trPr>
        <w:tc>
          <w:tcPr>
            <w:tcW w:w="3020" w:type="dxa"/>
            <w:tcBorders>
              <w:left w:val="single" w:sz="4" w:space="0" w:color="FFFFFF"/>
            </w:tcBorders>
            <w:shd w:val="clear" w:color="auto" w:fill="4472C4"/>
          </w:tcPr>
          <w:p w14:paraId="1F05A6C9" w14:textId="77777777" w:rsidR="00A970C0" w:rsidRPr="007A19FD" w:rsidRDefault="00A970C0" w:rsidP="00FC6FBA">
            <w:pPr>
              <w:rPr>
                <w:rFonts w:ascii="Calibri" w:hAnsi="Calibri" w:cs="Calibri"/>
                <w:b/>
                <w:bCs/>
                <w:snapToGrid w:val="0"/>
                <w:sz w:val="20"/>
                <w:szCs w:val="20"/>
                <w:lang w:val="en-GB"/>
              </w:rPr>
            </w:pPr>
            <w:r w:rsidRPr="007A19FD">
              <w:rPr>
                <w:rFonts w:ascii="Calibri" w:hAnsi="Calibri" w:cs="Calibri"/>
                <w:lang w:val="en-US" w:eastAsia="el-GR"/>
              </w:rPr>
              <w:t>7</w:t>
            </w:r>
            <w:r w:rsidRPr="007A19FD">
              <w:rPr>
                <w:rFonts w:ascii="Calibri" w:hAnsi="Calibri" w:cs="Calibri"/>
                <w:lang w:val="el-GR" w:eastAsia="el-GR"/>
              </w:rPr>
              <w:t xml:space="preserve">. </w:t>
            </w:r>
            <w:proofErr w:type="spellStart"/>
            <w:r w:rsidRPr="007A19FD">
              <w:rPr>
                <w:rFonts w:ascii="Calibri" w:hAnsi="Calibri" w:cs="Calibri"/>
                <w:lang w:val="el-GR" w:eastAsia="el-GR"/>
              </w:rPr>
              <w:t>Others</w:t>
            </w:r>
            <w:proofErr w:type="spellEnd"/>
            <w:r w:rsidRPr="007A19FD">
              <w:rPr>
                <w:rFonts w:ascii="Calibri" w:hAnsi="Calibri" w:cs="Calibri"/>
                <w:lang w:val="el-GR" w:eastAsia="el-GR"/>
              </w:rPr>
              <w:t xml:space="preserve"> </w:t>
            </w:r>
          </w:p>
        </w:tc>
        <w:tc>
          <w:tcPr>
            <w:tcW w:w="2119" w:type="dxa"/>
            <w:shd w:val="clear" w:color="auto" w:fill="B4C6E7"/>
          </w:tcPr>
          <w:p w14:paraId="36DC326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2252" w:type="dxa"/>
            <w:shd w:val="clear" w:color="auto" w:fill="B4C6E7"/>
          </w:tcPr>
          <w:p w14:paraId="38867AE7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854" w:type="dxa"/>
            <w:shd w:val="clear" w:color="auto" w:fill="B4C6E7"/>
          </w:tcPr>
          <w:p w14:paraId="1A25AF76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  <w:tc>
          <w:tcPr>
            <w:tcW w:w="1192" w:type="dxa"/>
            <w:shd w:val="clear" w:color="auto" w:fill="B4C6E7"/>
          </w:tcPr>
          <w:p w14:paraId="32C8F68B" w14:textId="77777777" w:rsidR="00A970C0" w:rsidRPr="007A19FD" w:rsidRDefault="00A970C0" w:rsidP="00FC6FBA">
            <w:pPr>
              <w:rPr>
                <w:rFonts w:ascii="Calibri" w:hAnsi="Calibri" w:cs="Calibri"/>
                <w:snapToGrid w:val="0"/>
                <w:sz w:val="20"/>
                <w:szCs w:val="20"/>
                <w:lang w:val="en-GB"/>
              </w:rPr>
            </w:pPr>
          </w:p>
        </w:tc>
      </w:tr>
    </w:tbl>
    <w:p w14:paraId="3BCDC538" w14:textId="77777777" w:rsidR="00A970C0" w:rsidRPr="00F0458F" w:rsidRDefault="00A970C0" w:rsidP="00A970C0">
      <w:pPr>
        <w:rPr>
          <w:rFonts w:ascii="Calibri" w:hAnsi="Calibri" w:cs="Calibri"/>
          <w:snapToGrid w:val="0"/>
          <w:lang w:val="en-GB"/>
        </w:rPr>
      </w:pPr>
    </w:p>
    <w:p w14:paraId="6013C990" w14:textId="77777777" w:rsidR="00A970C0" w:rsidRPr="00F0458F" w:rsidRDefault="00A970C0" w:rsidP="00A970C0">
      <w:pPr>
        <w:rPr>
          <w:rFonts w:ascii="Calibri" w:hAnsi="Calibri" w:cs="Calibri"/>
          <w:lang w:val="en-GB"/>
        </w:rPr>
      </w:pPr>
    </w:p>
    <w:p w14:paraId="72287971" w14:textId="77777777" w:rsidR="00A970C0" w:rsidRPr="00F0458F" w:rsidRDefault="00A970C0" w:rsidP="00A970C0">
      <w:pPr>
        <w:rPr>
          <w:rFonts w:ascii="Calibri" w:hAnsi="Calibri" w:cs="Calibri"/>
          <w:lang w:val="en-GB"/>
        </w:rPr>
      </w:pPr>
    </w:p>
    <w:p w14:paraId="24C93062" w14:textId="77777777" w:rsidR="003C3EDE" w:rsidRDefault="003C3EDE">
      <w:bookmarkStart w:id="23" w:name="_GoBack"/>
      <w:bookmarkEnd w:id="23"/>
    </w:p>
    <w:sectPr w:rsidR="003C3E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430A1"/>
    <w:multiLevelType w:val="hybridMultilevel"/>
    <w:tmpl w:val="A4DACAAC"/>
    <w:lvl w:ilvl="0" w:tplc="7C707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EF"/>
    <w:rsid w:val="003C3EDE"/>
    <w:rsid w:val="005140EF"/>
    <w:rsid w:val="00A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E6B02-F02C-4433-9E65-019A2364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0C0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"/>
    <w:basedOn w:val="Normal"/>
    <w:link w:val="ListParagraphChar"/>
    <w:qFormat/>
    <w:rsid w:val="00A970C0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A970C0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A970C0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5fe48a7a30260b92535a4ad9c4ee9062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7de86c3ae97745010342e54ea5b9ce25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FF793E-07C6-42EC-B5D6-D9C9A18269E5}"/>
</file>

<file path=customXml/itemProps2.xml><?xml version="1.0" encoding="utf-8"?>
<ds:datastoreItem xmlns:ds="http://schemas.openxmlformats.org/officeDocument/2006/customXml" ds:itemID="{46F7A8A5-341F-4807-A2FB-6A75431D559E}"/>
</file>

<file path=customXml/itemProps3.xml><?xml version="1.0" encoding="utf-8"?>
<ds:datastoreItem xmlns:ds="http://schemas.openxmlformats.org/officeDocument/2006/customXml" ds:itemID="{91A96D73-1974-4A8D-AD53-0D4219BCE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1432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2</cp:revision>
  <dcterms:created xsi:type="dcterms:W3CDTF">2020-01-30T18:10:00Z</dcterms:created>
  <dcterms:modified xsi:type="dcterms:W3CDTF">2020-01-30T18:14:00Z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