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441657EC" w14:textId="3A33B794" w:rsidR="00C63A64" w:rsidRPr="0016546E" w:rsidRDefault="00C63A64" w:rsidP="00C63A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color w:val="4F81BD" w:themeColor="accent1"/>
          <w:sz w:val="20"/>
          <w:lang w:val="es-ES" w:eastAsia="es-ES" w:bidi="es-ES"/>
        </w:rPr>
      </w:pPr>
      <w:r>
        <w:rPr>
          <w:rFonts w:ascii="Calibri" w:eastAsia="Calibri" w:hAnsi="Calibri" w:cs="Calibri"/>
          <w:b/>
          <w:bCs/>
          <w:color w:val="4F81BD" w:themeColor="accent1"/>
          <w:sz w:val="28"/>
          <w:szCs w:val="28"/>
          <w:lang w:val="es-ES" w:eastAsia="es-ES" w:bidi="es-ES"/>
        </w:rPr>
        <w:t>R</w:t>
      </w:r>
      <w:r>
        <w:rPr>
          <w:rFonts w:ascii="Calibri" w:eastAsia="Calibri" w:hAnsi="Calibri" w:cs="Calibri"/>
          <w:b/>
          <w:bCs/>
          <w:color w:val="4F81BD" w:themeColor="accent1"/>
          <w:sz w:val="28"/>
          <w:szCs w:val="28"/>
          <w:lang w:val="es-ES" w:eastAsia="es-ES" w:bidi="es-ES"/>
        </w:rPr>
        <w:t>elevamiento de información local sobre adaptación al cambio climático en el marco del proceso de actualización de la Contribución Nacional Determinada (NDC)</w:t>
      </w:r>
    </w:p>
    <w:p w14:paraId="6B770FA1" w14:textId="77777777" w:rsidR="00C63A64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b/>
          <w:lang w:val="es-ES" w:eastAsia="zh-CN"/>
        </w:rPr>
      </w:pPr>
    </w:p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bookmarkStart w:id="1" w:name="_GoBack"/>
      <w:bookmarkEnd w:id="1"/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5A49C1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2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2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5A49C1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 consultores que participarán en este trabajo y sus respectivos roles y actividades.</w:t>
      </w:r>
    </w:p>
    <w:p w14:paraId="6E54E60B" w14:textId="0A569E55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>Indicar quién/ quiénes serán los consultores con radicación en Paraguay.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F233" w14:textId="77777777" w:rsidR="002512D7" w:rsidRDefault="002512D7" w:rsidP="00916AA9">
      <w:r>
        <w:separator/>
      </w:r>
    </w:p>
    <w:p w14:paraId="4A598AAF" w14:textId="77777777" w:rsidR="002512D7" w:rsidRDefault="002512D7"/>
  </w:endnote>
  <w:endnote w:type="continuationSeparator" w:id="0">
    <w:p w14:paraId="3630569A" w14:textId="77777777" w:rsidR="002512D7" w:rsidRDefault="002512D7" w:rsidP="00916AA9">
      <w:r>
        <w:continuationSeparator/>
      </w:r>
    </w:p>
    <w:p w14:paraId="7777324D" w14:textId="77777777" w:rsidR="002512D7" w:rsidRDefault="0025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3904" w14:textId="77777777" w:rsidR="002512D7" w:rsidRDefault="002512D7" w:rsidP="00916AA9">
      <w:r>
        <w:separator/>
      </w:r>
    </w:p>
    <w:p w14:paraId="71524D14" w14:textId="77777777" w:rsidR="002512D7" w:rsidRDefault="002512D7"/>
  </w:footnote>
  <w:footnote w:type="continuationSeparator" w:id="0">
    <w:p w14:paraId="7F1D66E4" w14:textId="77777777" w:rsidR="002512D7" w:rsidRDefault="002512D7" w:rsidP="00916AA9">
      <w:r>
        <w:continuationSeparator/>
      </w:r>
    </w:p>
    <w:p w14:paraId="2601245A" w14:textId="77777777" w:rsidR="002512D7" w:rsidRDefault="00251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223"/>
    <w:rsid w:val="00044E20"/>
    <w:rsid w:val="00047171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9323D"/>
    <w:rsid w:val="0019629E"/>
    <w:rsid w:val="001B06EA"/>
    <w:rsid w:val="001B1447"/>
    <w:rsid w:val="001B24A9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53CF"/>
    <w:rsid w:val="00271F40"/>
    <w:rsid w:val="00273CC9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40401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827"/>
    <w:rsid w:val="00B83DEB"/>
    <w:rsid w:val="00B97EB2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51D1C"/>
    <w:rsid w:val="00D61A4C"/>
    <w:rsid w:val="00D720B6"/>
    <w:rsid w:val="00D844A8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66D0A"/>
    <w:rsid w:val="00F70B47"/>
    <w:rsid w:val="00F74454"/>
    <w:rsid w:val="00F8313C"/>
    <w:rsid w:val="00F954E6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customXml/itemProps4.xml><?xml version="1.0" encoding="utf-8"?>
<ds:datastoreItem xmlns:ds="http://schemas.openxmlformats.org/officeDocument/2006/customXml" ds:itemID="{B4EF81BB-7298-4C02-8C8F-5D4AA4E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Lorena Marquez</cp:lastModifiedBy>
  <cp:revision>2</cp:revision>
  <cp:lastPrinted>2020-09-25T18:44:00Z</cp:lastPrinted>
  <dcterms:created xsi:type="dcterms:W3CDTF">2020-11-24T14:23:00Z</dcterms:created>
  <dcterms:modified xsi:type="dcterms:W3CDTF">2020-11-24T14:23:00Z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